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40"/>
          <w:szCs w:val="40"/>
        </w:rPr>
      </w:pPr>
      <w:r>
        <w:rPr>
          <w:rFonts w:hint="eastAsia" w:ascii="黑体" w:hAnsi="黑体" w:eastAsia="黑体" w:cs="黑体"/>
          <w:sz w:val="40"/>
          <w:szCs w:val="40"/>
        </w:rPr>
        <w:t>中国人民银行公告</w:t>
      </w:r>
    </w:p>
    <w:p>
      <w:pPr>
        <w:jc w:val="center"/>
        <w:rPr>
          <w:rFonts w:hint="eastAsia" w:ascii="黑体" w:hAnsi="黑体" w:eastAsia="黑体" w:cs="黑体"/>
          <w:sz w:val="40"/>
          <w:szCs w:val="40"/>
        </w:rPr>
      </w:pPr>
      <w:r>
        <w:rPr>
          <w:rFonts w:hint="eastAsia" w:ascii="黑体" w:hAnsi="黑体" w:eastAsia="黑体" w:cs="黑体"/>
          <w:sz w:val="40"/>
          <w:szCs w:val="40"/>
        </w:rPr>
        <w:t>〔</w:t>
      </w:r>
      <w:r>
        <w:rPr>
          <w:rFonts w:hint="eastAsia" w:ascii="黑体" w:hAnsi="黑体" w:eastAsia="黑体" w:cs="黑体"/>
          <w:sz w:val="40"/>
          <w:szCs w:val="40"/>
          <w:lang w:val="en-US" w:eastAsia="zh-CN"/>
        </w:rPr>
        <w:t>2016</w:t>
      </w:r>
      <w:r>
        <w:rPr>
          <w:rFonts w:hint="eastAsia" w:ascii="黑体" w:hAnsi="黑体" w:eastAsia="黑体" w:cs="黑体"/>
          <w:sz w:val="40"/>
          <w:szCs w:val="40"/>
        </w:rPr>
        <w:t>〕 第</w:t>
      </w:r>
      <w:r>
        <w:rPr>
          <w:rFonts w:hint="eastAsia" w:ascii="黑体" w:hAnsi="黑体" w:eastAsia="黑体" w:cs="黑体"/>
          <w:sz w:val="40"/>
          <w:szCs w:val="40"/>
        </w:rPr>
        <w:t>29</w:t>
      </w:r>
      <w:r>
        <w:rPr>
          <w:rFonts w:hint="eastAsia" w:ascii="黑体" w:hAnsi="黑体" w:eastAsia="黑体" w:cs="黑体"/>
          <w:sz w:val="40"/>
          <w:szCs w:val="40"/>
        </w:rPr>
        <w:t>号</w:t>
      </w:r>
    </w:p>
    <w:p>
      <w:pPr>
        <w:jc w:val="center"/>
        <w:rPr>
          <w:rFonts w:hint="eastAsia" w:ascii="黑体" w:hAnsi="黑体" w:eastAsia="黑体" w:cs="黑体"/>
          <w:sz w:val="40"/>
          <w:szCs w:val="40"/>
        </w:rPr>
      </w:pPr>
    </w:p>
    <w:p>
      <w:pPr>
        <w:keepNext w:val="0"/>
        <w:keepLines w:val="0"/>
        <w:pageBreakBefore w:val="0"/>
        <w:widowControl w:val="0"/>
        <w:kinsoku/>
        <w:wordWrap/>
        <w:overflowPunct/>
        <w:topLinePunct w:val="0"/>
        <w:autoSpaceDE/>
        <w:autoSpaceDN/>
        <w:bidi w:val="0"/>
        <w:adjustRightInd/>
        <w:snapToGrid/>
        <w:ind w:firstLine="600" w:firstLineChars="200"/>
        <w:jc w:val="left"/>
        <w:textAlignment w:val="auto"/>
        <w:rPr>
          <w:rFonts w:hint="eastAsia"/>
          <w:sz w:val="30"/>
          <w:szCs w:val="30"/>
        </w:rPr>
      </w:pPr>
      <w:r>
        <w:rPr>
          <w:rFonts w:hint="eastAsia"/>
          <w:sz w:val="30"/>
          <w:szCs w:val="30"/>
        </w:rPr>
        <w:t>为规范票据市场交易行为，维护交易各方合法权益，促进票据市场健康发展，中国人民银行制定了《票据交易管理办法》，现予公布施行。</w:t>
      </w:r>
    </w:p>
    <w:p>
      <w:pPr>
        <w:jc w:val="right"/>
        <w:rPr>
          <w:rFonts w:hint="eastAsia"/>
          <w:sz w:val="30"/>
          <w:szCs w:val="30"/>
        </w:rPr>
      </w:pPr>
      <w:r>
        <w:rPr>
          <w:rFonts w:hint="eastAsia"/>
          <w:sz w:val="30"/>
          <w:szCs w:val="30"/>
        </w:rPr>
        <w:t>人民银行</w:t>
      </w:r>
    </w:p>
    <w:p>
      <w:pPr>
        <w:jc w:val="right"/>
        <w:rPr>
          <w:rFonts w:hint="eastAsia"/>
          <w:sz w:val="30"/>
          <w:szCs w:val="30"/>
        </w:rPr>
      </w:pPr>
      <w:r>
        <w:rPr>
          <w:rFonts w:hint="eastAsia"/>
          <w:sz w:val="30"/>
          <w:szCs w:val="30"/>
        </w:rPr>
        <w:t>2016年12月5日</w:t>
      </w:r>
    </w:p>
    <w:p>
      <w:pPr>
        <w:pStyle w:val="4"/>
        <w:shd w:val="clear" w:color="auto" w:fill="FFFFFF"/>
        <w:spacing w:before="0" w:beforeAutospacing="0" w:after="0" w:afterAutospacing="0"/>
        <w:ind w:firstLine="480"/>
        <w:jc w:val="both"/>
        <w:rPr>
          <w:rFonts w:hint="eastAsia" w:asciiTheme="minorEastAsia" w:hAnsiTheme="minorEastAsia" w:eastAsiaTheme="minorEastAsia" w:cstheme="minorEastAsia"/>
          <w:color w:val="333333"/>
          <w:sz w:val="27"/>
          <w:szCs w:val="27"/>
        </w:rPr>
      </w:pPr>
    </w:p>
    <w:p>
      <w:pPr>
        <w:pStyle w:val="4"/>
        <w:shd w:val="clear" w:color="auto" w:fill="FFFFFF"/>
        <w:spacing w:before="0" w:beforeAutospacing="0" w:after="0" w:afterAutospacing="0"/>
        <w:ind w:firstLine="480"/>
        <w:jc w:val="both"/>
        <w:rPr>
          <w:rFonts w:hint="eastAsia" w:asciiTheme="minorEastAsia" w:hAnsiTheme="minorEastAsia" w:eastAsiaTheme="minorEastAsia" w:cstheme="minorEastAsia"/>
          <w:color w:val="333333"/>
          <w:sz w:val="27"/>
          <w:szCs w:val="27"/>
        </w:rPr>
      </w:pPr>
    </w:p>
    <w:p>
      <w:pPr>
        <w:pStyle w:val="4"/>
        <w:shd w:val="clear" w:color="auto" w:fill="FFFFFF"/>
        <w:spacing w:before="0" w:beforeAutospacing="0" w:after="0" w:afterAutospacing="0"/>
        <w:jc w:val="center"/>
        <w:rPr>
          <w:rFonts w:hint="eastAsia" w:ascii="黑体" w:hAnsi="黑体" w:eastAsia="黑体" w:cs="黑体"/>
          <w:b w:val="0"/>
          <w:bCs w:val="0"/>
          <w:color w:val="333333"/>
          <w:sz w:val="40"/>
          <w:szCs w:val="40"/>
        </w:rPr>
      </w:pPr>
      <w:r>
        <w:rPr>
          <w:rFonts w:hint="eastAsia" w:ascii="黑体" w:hAnsi="黑体" w:eastAsia="黑体" w:cs="黑体"/>
          <w:b w:val="0"/>
          <w:bCs w:val="0"/>
          <w:color w:val="333333"/>
          <w:sz w:val="40"/>
          <w:szCs w:val="40"/>
        </w:rPr>
        <w:t>票据交易管理办法</w:t>
      </w:r>
    </w:p>
    <w:p>
      <w:pPr>
        <w:pStyle w:val="4"/>
        <w:shd w:val="clear" w:color="auto" w:fill="FFFFFF"/>
        <w:spacing w:before="0" w:beforeAutospacing="0" w:after="0" w:afterAutospacing="0"/>
        <w:ind w:firstLine="480"/>
        <w:jc w:val="both"/>
        <w:rPr>
          <w:rFonts w:hint="eastAsia" w:asciiTheme="minorEastAsia" w:hAnsiTheme="minorEastAsia" w:eastAsiaTheme="minorEastAsia" w:cstheme="minorEastAsia"/>
          <w:color w:val="333333"/>
          <w:sz w:val="27"/>
          <w:szCs w:val="27"/>
        </w:rPr>
      </w:pP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jc w:val="center"/>
        <w:textAlignment w:val="auto"/>
        <w:rPr>
          <w:rFonts w:hint="eastAsia" w:asciiTheme="minorEastAsia" w:hAnsiTheme="minorEastAsia" w:eastAsiaTheme="minorEastAsia" w:cstheme="minorEastAsia"/>
          <w:b/>
          <w:bCs/>
          <w:color w:val="auto"/>
          <w:sz w:val="30"/>
          <w:szCs w:val="30"/>
        </w:rPr>
      </w:pPr>
      <w:r>
        <w:rPr>
          <w:rFonts w:hint="eastAsia" w:asciiTheme="minorEastAsia" w:hAnsiTheme="minorEastAsia" w:eastAsiaTheme="minorEastAsia" w:cstheme="minorEastAsia"/>
          <w:b/>
          <w:bCs/>
          <w:color w:val="auto"/>
          <w:sz w:val="30"/>
          <w:szCs w:val="30"/>
        </w:rPr>
        <w:t>第一章　总</w:t>
      </w:r>
      <w:r>
        <w:rPr>
          <w:rFonts w:hint="eastAsia" w:asciiTheme="minorEastAsia" w:hAnsiTheme="minorEastAsia" w:eastAsiaTheme="minorEastAsia" w:cstheme="minorEastAsia"/>
          <w:b/>
          <w:bCs/>
          <w:color w:val="auto"/>
          <w:sz w:val="30"/>
          <w:szCs w:val="30"/>
          <w:lang w:val="en-US" w:eastAsia="zh-CN"/>
        </w:rPr>
        <w:t xml:space="preserve"> </w:t>
      </w:r>
      <w:r>
        <w:rPr>
          <w:rFonts w:hint="eastAsia" w:asciiTheme="minorEastAsia" w:hAnsiTheme="minorEastAsia" w:eastAsiaTheme="minorEastAsia" w:cstheme="minorEastAsia"/>
          <w:b/>
          <w:bCs/>
          <w:color w:val="auto"/>
          <w:sz w:val="30"/>
          <w:szCs w:val="30"/>
        </w:rPr>
        <w:t>则</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2"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b/>
          <w:bCs/>
          <w:color w:val="auto"/>
          <w:sz w:val="30"/>
          <w:szCs w:val="30"/>
        </w:rPr>
        <w:t>第一条</w:t>
      </w:r>
      <w:r>
        <w:rPr>
          <w:rFonts w:hint="eastAsia" w:asciiTheme="minorEastAsia" w:hAnsiTheme="minorEastAsia" w:eastAsiaTheme="minorEastAsia" w:cstheme="minorEastAsia"/>
          <w:color w:val="auto"/>
          <w:sz w:val="30"/>
          <w:szCs w:val="30"/>
        </w:rPr>
        <w:t>　为规范票据市场交易行为，防范交易风险，维护交易各方合法权益，促进票据市场健康发展，依据《中华人民共和国中国人民银行法》、《中华人民共和国票据法</w:t>
      </w:r>
      <w:bookmarkStart w:id="0" w:name="_GoBack"/>
      <w:bookmarkEnd w:id="0"/>
      <w:r>
        <w:rPr>
          <w:rFonts w:hint="eastAsia" w:asciiTheme="minorEastAsia" w:hAnsiTheme="minorEastAsia" w:eastAsiaTheme="minorEastAsia" w:cstheme="minorEastAsia"/>
          <w:color w:val="auto"/>
          <w:sz w:val="30"/>
          <w:szCs w:val="30"/>
        </w:rPr>
        <w:t>》、《中华人民共和国电子签名法》等有关法律法规，制定本办法。</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2"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b/>
          <w:bCs/>
          <w:color w:val="auto"/>
          <w:sz w:val="30"/>
          <w:szCs w:val="30"/>
        </w:rPr>
        <w:t>第二条</w:t>
      </w:r>
      <w:r>
        <w:rPr>
          <w:rFonts w:hint="eastAsia" w:asciiTheme="minorEastAsia" w:hAnsiTheme="minorEastAsia" w:eastAsiaTheme="minorEastAsia" w:cstheme="minorEastAsia"/>
          <w:color w:val="auto"/>
          <w:sz w:val="30"/>
          <w:szCs w:val="30"/>
        </w:rPr>
        <w:t>　市场参与者从事票据交易应当遵守本办法，本办法所称票据包括但不限于纸质或者电子形式的银行承兑汇票、商业承兑汇票等可交易票据。</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2"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b/>
          <w:bCs/>
          <w:color w:val="auto"/>
          <w:sz w:val="30"/>
          <w:szCs w:val="30"/>
        </w:rPr>
        <w:t>第三条</w:t>
      </w:r>
      <w:r>
        <w:rPr>
          <w:rFonts w:hint="eastAsia" w:asciiTheme="minorEastAsia" w:hAnsiTheme="minorEastAsia" w:eastAsiaTheme="minorEastAsia" w:cstheme="minorEastAsia"/>
          <w:color w:val="auto"/>
          <w:sz w:val="30"/>
          <w:szCs w:val="30"/>
        </w:rPr>
        <w:t>　票据交易应当遵循公平自愿、诚信自律、风险自担的原则。</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2"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b/>
          <w:bCs/>
          <w:color w:val="auto"/>
          <w:sz w:val="30"/>
          <w:szCs w:val="30"/>
        </w:rPr>
        <w:t>第四条</w:t>
      </w:r>
      <w:r>
        <w:rPr>
          <w:rFonts w:hint="eastAsia" w:asciiTheme="minorEastAsia" w:hAnsiTheme="minorEastAsia" w:eastAsiaTheme="minorEastAsia" w:cstheme="minorEastAsia"/>
          <w:color w:val="auto"/>
          <w:sz w:val="30"/>
          <w:szCs w:val="30"/>
        </w:rPr>
        <w:t>　中国人民银行依法对票据市场进行监督管理，并根据宏观调控需要对票据市场进行宏观审慎管理。</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0" w:firstLineChars="200"/>
        <w:jc w:val="both"/>
        <w:textAlignment w:val="auto"/>
        <w:rPr>
          <w:rFonts w:hint="eastAsia" w:asciiTheme="minorEastAsia" w:hAnsiTheme="minorEastAsia" w:eastAsiaTheme="minorEastAsia" w:cstheme="minorEastAsia"/>
          <w:color w:val="auto"/>
          <w:sz w:val="30"/>
          <w:szCs w:val="30"/>
        </w:rPr>
      </w:pP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jc w:val="center"/>
        <w:textAlignment w:val="auto"/>
        <w:rPr>
          <w:rFonts w:hint="eastAsia" w:asciiTheme="minorEastAsia" w:hAnsiTheme="minorEastAsia" w:eastAsiaTheme="minorEastAsia" w:cstheme="minorEastAsia"/>
          <w:b/>
          <w:bCs/>
          <w:color w:val="auto"/>
          <w:sz w:val="30"/>
          <w:szCs w:val="30"/>
        </w:rPr>
      </w:pPr>
      <w:r>
        <w:rPr>
          <w:rFonts w:hint="eastAsia" w:asciiTheme="minorEastAsia" w:hAnsiTheme="minorEastAsia" w:eastAsiaTheme="minorEastAsia" w:cstheme="minorEastAsia"/>
          <w:b/>
          <w:bCs/>
          <w:color w:val="auto"/>
          <w:sz w:val="30"/>
          <w:szCs w:val="30"/>
        </w:rPr>
        <w:t>第二章　票据市场参与者</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2"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b/>
          <w:bCs/>
          <w:color w:val="auto"/>
          <w:sz w:val="30"/>
          <w:szCs w:val="30"/>
        </w:rPr>
        <w:t>第五条</w:t>
      </w:r>
      <w:r>
        <w:rPr>
          <w:rFonts w:hint="eastAsia" w:asciiTheme="minorEastAsia" w:hAnsiTheme="minorEastAsia" w:eastAsiaTheme="minorEastAsia" w:cstheme="minorEastAsia"/>
          <w:color w:val="auto"/>
          <w:sz w:val="30"/>
          <w:szCs w:val="30"/>
        </w:rPr>
        <w:t>　票据市场参与者是指可以从事票据交易的市场主体，包括：</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0"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color w:val="auto"/>
          <w:sz w:val="30"/>
          <w:szCs w:val="30"/>
        </w:rPr>
        <w:t>（一）法人类参与者。指金融机构法人，包括政策性银行、商业银行及其授权的分支机构，农村信用社、企业集团财务公司、信托公司、证券公司、基金管理公司、期货公司、保险公司等经金融监督管理部门许可的金融机构。</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0"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color w:val="auto"/>
          <w:sz w:val="30"/>
          <w:szCs w:val="30"/>
        </w:rPr>
        <w:t>（二）非法人类参与者。指金融机构等作为资产管理人，在依法合规的前提下，接受客户的委托或者授权，按照与客户约定的投资计划和方式开展资产管理业务所设立的各类投资产品，包括证券投资基金、资产管理计划、银行理财产品、信托计划、保险产品、住房公积金、社会保障基金、企业年金、养老基金等。</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0"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color w:val="auto"/>
          <w:sz w:val="30"/>
          <w:szCs w:val="30"/>
        </w:rPr>
        <w:t>（三）中国人民银行确定的其他市场参与者。</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2"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b/>
          <w:bCs/>
          <w:color w:val="auto"/>
          <w:sz w:val="30"/>
          <w:szCs w:val="30"/>
        </w:rPr>
        <w:t>第六条</w:t>
      </w:r>
      <w:r>
        <w:rPr>
          <w:rFonts w:hint="eastAsia" w:asciiTheme="minorEastAsia" w:hAnsiTheme="minorEastAsia" w:eastAsiaTheme="minorEastAsia" w:cstheme="minorEastAsia"/>
          <w:color w:val="auto"/>
          <w:sz w:val="30"/>
          <w:szCs w:val="30"/>
        </w:rPr>
        <w:t>　法人类参与者应当符合以下条件：</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0"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color w:val="auto"/>
          <w:sz w:val="30"/>
          <w:szCs w:val="30"/>
        </w:rPr>
        <w:t>（一）依法合规设立。</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0"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color w:val="auto"/>
          <w:sz w:val="30"/>
          <w:szCs w:val="30"/>
        </w:rPr>
        <w:t>（二）已制定票据业务内部管理制度和操作规程，具有健全的公司治理结构和完善的内部控制、风险管理机制。</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0"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color w:val="auto"/>
          <w:sz w:val="30"/>
          <w:szCs w:val="30"/>
        </w:rPr>
        <w:t>（三）有熟悉票据市场和专门从事票据交易的人员。</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0"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color w:val="auto"/>
          <w:sz w:val="30"/>
          <w:szCs w:val="30"/>
        </w:rPr>
        <w:t>（四）具备相应的风险识别和承担能力，知悉并承担票据投资风险。</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0"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color w:val="auto"/>
          <w:sz w:val="30"/>
          <w:szCs w:val="30"/>
        </w:rPr>
        <w:t>（五）中国人民银行要求的其他条件。</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2"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b/>
          <w:bCs/>
          <w:color w:val="auto"/>
          <w:sz w:val="30"/>
          <w:szCs w:val="30"/>
        </w:rPr>
        <w:t>第七条</w:t>
      </w:r>
      <w:r>
        <w:rPr>
          <w:rFonts w:hint="eastAsia" w:asciiTheme="minorEastAsia" w:hAnsiTheme="minorEastAsia" w:eastAsiaTheme="minorEastAsia" w:cstheme="minorEastAsia"/>
          <w:color w:val="auto"/>
          <w:sz w:val="30"/>
          <w:szCs w:val="30"/>
        </w:rPr>
        <w:t>　非法人类参与者应当符合以下条件：</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0"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color w:val="auto"/>
          <w:sz w:val="30"/>
          <w:szCs w:val="30"/>
        </w:rPr>
        <w:t>（一）产品设立符合相关法律法规和监管规定，并已依法在相关金融监督管理部门获得批准或者完成备案。</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0"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color w:val="auto"/>
          <w:sz w:val="30"/>
          <w:szCs w:val="30"/>
        </w:rPr>
        <w:t>（二）产品已委托具有托管资格的金融机构（以下简称托管人）进行独立托管，托管人对委托人资金实行分账管理、单独核算。</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0"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color w:val="auto"/>
          <w:sz w:val="30"/>
          <w:szCs w:val="30"/>
        </w:rPr>
        <w:t>（三）产品管理人具有相关金融监督管理部门批准的资产管理业务资格。</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2"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b/>
          <w:bCs/>
          <w:color w:val="auto"/>
          <w:sz w:val="30"/>
          <w:szCs w:val="30"/>
        </w:rPr>
        <w:t>第八条</w:t>
      </w:r>
      <w:r>
        <w:rPr>
          <w:rFonts w:hint="eastAsia" w:asciiTheme="minorEastAsia" w:hAnsiTheme="minorEastAsia" w:eastAsiaTheme="minorEastAsia" w:cstheme="minorEastAsia"/>
          <w:color w:val="auto"/>
          <w:sz w:val="30"/>
          <w:szCs w:val="30"/>
        </w:rPr>
        <w:t>　法人类参与者开展票据交易，应当遵守有关法律法规，强化内控制度建设，完善部门和岗位设置，并采取切实措施持续提高相关人员业务能力。</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2"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b/>
          <w:bCs/>
          <w:color w:val="auto"/>
          <w:sz w:val="30"/>
          <w:szCs w:val="30"/>
        </w:rPr>
        <w:t>第九条</w:t>
      </w:r>
      <w:r>
        <w:rPr>
          <w:rFonts w:hint="eastAsia" w:asciiTheme="minorEastAsia" w:hAnsiTheme="minorEastAsia" w:eastAsiaTheme="minorEastAsia" w:cstheme="minorEastAsia"/>
          <w:color w:val="auto"/>
          <w:sz w:val="30"/>
          <w:szCs w:val="30"/>
        </w:rPr>
        <w:t>　非法人类参与者开展票据交易，由其资产管理人代表其行使票据权利并以受托管理的资产承担相应的民事责任。资产管理人从事资管业务的部门、岗位、人员及其管理的资产应当与其自营业务相互独立。</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0" w:firstLineChars="200"/>
        <w:jc w:val="both"/>
        <w:textAlignment w:val="auto"/>
        <w:rPr>
          <w:rFonts w:hint="eastAsia" w:asciiTheme="minorEastAsia" w:hAnsiTheme="minorEastAsia" w:eastAsiaTheme="minorEastAsia" w:cstheme="minorEastAsia"/>
          <w:color w:val="auto"/>
          <w:sz w:val="30"/>
          <w:szCs w:val="30"/>
        </w:rPr>
      </w:pP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jc w:val="center"/>
        <w:textAlignment w:val="auto"/>
        <w:rPr>
          <w:rFonts w:hint="eastAsia" w:asciiTheme="minorEastAsia" w:hAnsiTheme="minorEastAsia" w:eastAsiaTheme="minorEastAsia" w:cstheme="minorEastAsia"/>
          <w:b/>
          <w:bCs/>
          <w:color w:val="auto"/>
          <w:sz w:val="30"/>
          <w:szCs w:val="30"/>
        </w:rPr>
      </w:pPr>
      <w:r>
        <w:rPr>
          <w:rFonts w:hint="eastAsia" w:asciiTheme="minorEastAsia" w:hAnsiTheme="minorEastAsia" w:eastAsiaTheme="minorEastAsia" w:cstheme="minorEastAsia"/>
          <w:b/>
          <w:bCs/>
          <w:color w:val="auto"/>
          <w:sz w:val="30"/>
          <w:szCs w:val="30"/>
        </w:rPr>
        <w:t>第三章　票据市场基础设施</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2"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b/>
          <w:bCs/>
          <w:color w:val="auto"/>
          <w:sz w:val="30"/>
          <w:szCs w:val="30"/>
        </w:rPr>
        <w:t>第十条</w:t>
      </w:r>
      <w:r>
        <w:rPr>
          <w:rFonts w:hint="eastAsia" w:asciiTheme="minorEastAsia" w:hAnsiTheme="minorEastAsia" w:eastAsiaTheme="minorEastAsia" w:cstheme="minorEastAsia"/>
          <w:color w:val="auto"/>
          <w:sz w:val="30"/>
          <w:szCs w:val="30"/>
        </w:rPr>
        <w:t>　票据市场基础设施是指提供票据交易、登记托管、清算结算、信息服务的机构。</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2"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b/>
          <w:bCs/>
          <w:color w:val="auto"/>
          <w:sz w:val="30"/>
          <w:szCs w:val="30"/>
        </w:rPr>
        <w:t>第十一条</w:t>
      </w:r>
      <w:r>
        <w:rPr>
          <w:rFonts w:hint="eastAsia" w:asciiTheme="minorEastAsia" w:hAnsiTheme="minorEastAsia" w:eastAsiaTheme="minorEastAsia" w:cstheme="minorEastAsia"/>
          <w:color w:val="auto"/>
          <w:sz w:val="30"/>
          <w:szCs w:val="30"/>
        </w:rPr>
        <w:t>　票据市场基础设施应当经中国人民银行认可。中国人民银行对票据市场基础设施开展票据相关业务进行监督管理。</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2"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b/>
          <w:bCs/>
          <w:color w:val="auto"/>
          <w:sz w:val="30"/>
          <w:szCs w:val="30"/>
        </w:rPr>
        <w:t>第十二条</w:t>
      </w:r>
      <w:r>
        <w:rPr>
          <w:rFonts w:hint="eastAsia" w:asciiTheme="minorEastAsia" w:hAnsiTheme="minorEastAsia" w:eastAsiaTheme="minorEastAsia" w:cstheme="minorEastAsia"/>
          <w:color w:val="auto"/>
          <w:sz w:val="30"/>
          <w:szCs w:val="30"/>
        </w:rPr>
        <w:t>　票据市场基础设施可以为市场参与者提供以下服务：</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0"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color w:val="auto"/>
          <w:sz w:val="30"/>
          <w:szCs w:val="30"/>
        </w:rPr>
        <w:t>（一）组织票据交易，公布票据交易即时行情。</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0"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color w:val="auto"/>
          <w:sz w:val="30"/>
          <w:szCs w:val="30"/>
        </w:rPr>
        <w:t>（二）票据登记托管。</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0"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color w:val="auto"/>
          <w:sz w:val="30"/>
          <w:szCs w:val="30"/>
        </w:rPr>
        <w:t>（三）票据交易的清算结算。</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0"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color w:val="auto"/>
          <w:sz w:val="30"/>
          <w:szCs w:val="30"/>
        </w:rPr>
        <w:t>（四）票据信息服务。</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0"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color w:val="auto"/>
          <w:sz w:val="30"/>
          <w:szCs w:val="30"/>
        </w:rPr>
        <w:t>（五）中国人民银行认可的其他服务。</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2"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b/>
          <w:bCs/>
          <w:color w:val="auto"/>
          <w:sz w:val="30"/>
          <w:szCs w:val="30"/>
        </w:rPr>
        <w:t>第十三条</w:t>
      </w:r>
      <w:r>
        <w:rPr>
          <w:rFonts w:hint="eastAsia" w:asciiTheme="minorEastAsia" w:hAnsiTheme="minorEastAsia" w:eastAsiaTheme="minorEastAsia" w:cstheme="minorEastAsia"/>
          <w:color w:val="auto"/>
          <w:sz w:val="30"/>
          <w:szCs w:val="30"/>
        </w:rPr>
        <w:t>　票据市场基础设施按照金融市场基础设施建设有关标准进行系统建设与管理。</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2"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b/>
          <w:bCs/>
          <w:color w:val="auto"/>
          <w:sz w:val="30"/>
          <w:szCs w:val="30"/>
        </w:rPr>
        <w:t>第十四条</w:t>
      </w:r>
      <w:r>
        <w:rPr>
          <w:rFonts w:hint="eastAsia" w:asciiTheme="minorEastAsia" w:hAnsiTheme="minorEastAsia" w:eastAsiaTheme="minorEastAsia" w:cstheme="minorEastAsia"/>
          <w:color w:val="auto"/>
          <w:sz w:val="30"/>
          <w:szCs w:val="30"/>
        </w:rPr>
        <w:t>　票据市场基础设施应当从其业务收入中提取一定比例的金额设立风险基金并存入开户银行专门账户，用于弥补因违约交收、技术故障、操作失误、不可抗力等造成的相关损失。</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2"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b/>
          <w:bCs/>
          <w:color w:val="auto"/>
          <w:sz w:val="30"/>
          <w:szCs w:val="30"/>
        </w:rPr>
        <w:t>第十五条</w:t>
      </w:r>
      <w:r>
        <w:rPr>
          <w:rFonts w:hint="eastAsia" w:asciiTheme="minorEastAsia" w:hAnsiTheme="minorEastAsia" w:eastAsiaTheme="minorEastAsia" w:cstheme="minorEastAsia"/>
          <w:color w:val="auto"/>
          <w:sz w:val="30"/>
          <w:szCs w:val="30"/>
        </w:rPr>
        <w:t>　上海票据交易所是中国人民银行指定的提供票据交易、登记托管、清算结算和信息服务的机构。</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0" w:firstLineChars="200"/>
        <w:jc w:val="both"/>
        <w:textAlignment w:val="auto"/>
        <w:rPr>
          <w:rFonts w:hint="eastAsia" w:asciiTheme="minorEastAsia" w:hAnsiTheme="minorEastAsia" w:eastAsiaTheme="minorEastAsia" w:cstheme="minorEastAsia"/>
          <w:color w:val="auto"/>
          <w:sz w:val="30"/>
          <w:szCs w:val="30"/>
        </w:rPr>
      </w:pP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jc w:val="center"/>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b/>
          <w:bCs/>
          <w:color w:val="auto"/>
          <w:sz w:val="30"/>
          <w:szCs w:val="30"/>
        </w:rPr>
        <w:t>第四章　票据信息登记与电子化</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2"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b/>
          <w:bCs/>
          <w:color w:val="auto"/>
          <w:sz w:val="30"/>
          <w:szCs w:val="30"/>
        </w:rPr>
        <w:t>第十六条</w:t>
      </w:r>
      <w:r>
        <w:rPr>
          <w:rFonts w:hint="eastAsia" w:asciiTheme="minorEastAsia" w:hAnsiTheme="minorEastAsia" w:eastAsiaTheme="minorEastAsia" w:cstheme="minorEastAsia"/>
          <w:color w:val="auto"/>
          <w:sz w:val="30"/>
          <w:szCs w:val="30"/>
        </w:rPr>
        <w:t>　纸质票据贴现前，金融机构办理承兑、质押、保证等业务，应当不晚于业务办理的次一工作日在票据市场基础设施完成相关信息登记工作。</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0"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color w:val="auto"/>
          <w:sz w:val="30"/>
          <w:szCs w:val="30"/>
        </w:rPr>
        <w:t>纸质商业承兑汇票完成承兑后，承兑人开户行应当根据承兑人委托代其进行承兑信息登记。承兑信息未能及时登记的，持票人有权要求承兑人补充登记承兑信息。</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0"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color w:val="auto"/>
          <w:sz w:val="30"/>
          <w:szCs w:val="30"/>
        </w:rPr>
        <w:t>纸质票据票面信息与登记信息不一致的，以纸质票据票面信息为准。</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2"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b/>
          <w:bCs/>
          <w:color w:val="auto"/>
          <w:sz w:val="30"/>
          <w:szCs w:val="30"/>
        </w:rPr>
        <w:t>第十七条</w:t>
      </w:r>
      <w:r>
        <w:rPr>
          <w:rFonts w:hint="eastAsia" w:asciiTheme="minorEastAsia" w:hAnsiTheme="minorEastAsia" w:eastAsiaTheme="minorEastAsia" w:cstheme="minorEastAsia"/>
          <w:color w:val="auto"/>
          <w:sz w:val="30"/>
          <w:szCs w:val="30"/>
        </w:rPr>
        <w:t>　贴现人办理纸质票据贴现时，应当通过票据市场基础设施查询票据承兑信息，并在确认纸质票据必须记载事项与已登记承兑信息一致后，为贴现申请人办理贴现，贴现申请人无需提供合同、发票等资料；信息不存在或者纸质票据必须记载事项与已登记承兑信息不一致的，不得办理贴现。</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0"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color w:val="auto"/>
          <w:sz w:val="30"/>
          <w:szCs w:val="30"/>
        </w:rPr>
        <w:t>本款所称纸质票据必须记载事项指《中华人民共和国票据法》第二十二条规定的票据必须记载事项。</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2"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b/>
          <w:bCs/>
          <w:color w:val="auto"/>
          <w:sz w:val="30"/>
          <w:szCs w:val="30"/>
        </w:rPr>
        <w:t>第十八条</w:t>
      </w:r>
      <w:r>
        <w:rPr>
          <w:rFonts w:hint="eastAsia" w:asciiTheme="minorEastAsia" w:hAnsiTheme="minorEastAsia" w:eastAsiaTheme="minorEastAsia" w:cstheme="minorEastAsia"/>
          <w:color w:val="auto"/>
          <w:sz w:val="30"/>
          <w:szCs w:val="30"/>
        </w:rPr>
        <w:t>　贴现人完成纸质票据贴现后，应当不晚于贴现次一工作日在票据市场基础设施完成贴现信息登记。</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2"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b/>
          <w:bCs/>
          <w:color w:val="auto"/>
          <w:sz w:val="30"/>
          <w:szCs w:val="30"/>
        </w:rPr>
        <w:t>第十九条</w:t>
      </w:r>
      <w:r>
        <w:rPr>
          <w:rFonts w:hint="eastAsia" w:asciiTheme="minorEastAsia" w:hAnsiTheme="minorEastAsia" w:eastAsiaTheme="minorEastAsia" w:cstheme="minorEastAsia"/>
          <w:color w:val="auto"/>
          <w:sz w:val="30"/>
          <w:szCs w:val="30"/>
        </w:rPr>
        <w:t>　承兑人或者承兑人开户行收到挂失止付通知或者公示催告等司法文书并确认相关票据未付款的，应当于当日依法暂停支付并在票据市场基础设施登记或者委托开户行在票据市场基础设施登记相关信息。</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2"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b/>
          <w:bCs/>
          <w:color w:val="auto"/>
          <w:sz w:val="30"/>
          <w:szCs w:val="30"/>
        </w:rPr>
        <w:t>第二十条</w:t>
      </w:r>
      <w:r>
        <w:rPr>
          <w:rFonts w:hint="eastAsia" w:asciiTheme="minorEastAsia" w:hAnsiTheme="minorEastAsia" w:eastAsiaTheme="minorEastAsia" w:cstheme="minorEastAsia"/>
          <w:color w:val="auto"/>
          <w:sz w:val="30"/>
          <w:szCs w:val="30"/>
        </w:rPr>
        <w:t>　金融机构通过票据市场基础设施进行相关业务信息登记，因信息登记错误给他人造成损失的，应当承担赔偿责任。</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2"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b/>
          <w:bCs/>
          <w:color w:val="auto"/>
          <w:sz w:val="30"/>
          <w:szCs w:val="30"/>
        </w:rPr>
        <w:t>第二十一条</w:t>
      </w:r>
      <w:r>
        <w:rPr>
          <w:rFonts w:hint="eastAsia" w:asciiTheme="minorEastAsia" w:hAnsiTheme="minorEastAsia" w:eastAsiaTheme="minorEastAsia" w:cstheme="minorEastAsia"/>
          <w:color w:val="auto"/>
          <w:sz w:val="30"/>
          <w:szCs w:val="30"/>
        </w:rPr>
        <w:t>　贴现人办理纸质票据贴现后，应当在票据上记载“已电子登记权属”字样，该票据不再以纸质形式进行背书转让、设立质押或者其他交易行为。贴现人应当对纸质票据妥善保管。</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2"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b/>
          <w:bCs/>
          <w:color w:val="auto"/>
          <w:sz w:val="30"/>
          <w:szCs w:val="30"/>
        </w:rPr>
        <w:t>第二十二条</w:t>
      </w:r>
      <w:r>
        <w:rPr>
          <w:rFonts w:hint="eastAsia" w:asciiTheme="minorEastAsia" w:hAnsiTheme="minorEastAsia" w:eastAsiaTheme="minorEastAsia" w:cstheme="minorEastAsia"/>
          <w:color w:val="auto"/>
          <w:sz w:val="30"/>
          <w:szCs w:val="30"/>
        </w:rPr>
        <w:t>　已贴现票据背书通过电子形式办理。电子形式背书是指在票据市场基础设施以数据电文形式记载的背书，和纸质形式背书具有同等法律效力。</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2"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b/>
          <w:bCs/>
          <w:color w:val="auto"/>
          <w:sz w:val="30"/>
          <w:szCs w:val="30"/>
        </w:rPr>
        <w:t>第二十三条</w:t>
      </w:r>
      <w:r>
        <w:rPr>
          <w:rFonts w:hint="eastAsia" w:asciiTheme="minorEastAsia" w:hAnsiTheme="minorEastAsia" w:eastAsiaTheme="minorEastAsia" w:cstheme="minorEastAsia"/>
          <w:color w:val="auto"/>
          <w:sz w:val="30"/>
          <w:szCs w:val="30"/>
        </w:rPr>
        <w:t>　纸质票据电子形式背书后，由票据权利人通过票据市场基础设施通知保管人变更寄存人的方式完成交付。</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2"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b/>
          <w:bCs/>
          <w:color w:val="auto"/>
          <w:sz w:val="30"/>
          <w:szCs w:val="30"/>
        </w:rPr>
        <w:t>第二十四条</w:t>
      </w:r>
      <w:r>
        <w:rPr>
          <w:rFonts w:hint="eastAsia" w:asciiTheme="minorEastAsia" w:hAnsiTheme="minorEastAsia" w:eastAsiaTheme="minorEastAsia" w:cstheme="minorEastAsia"/>
          <w:color w:val="auto"/>
          <w:sz w:val="30"/>
          <w:szCs w:val="30"/>
        </w:rPr>
        <w:t>　贴现人可以按市场化原则选择商业银行对纸质票据进行保证增信。</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0"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color w:val="auto"/>
          <w:sz w:val="30"/>
          <w:szCs w:val="30"/>
        </w:rPr>
        <w:t>保证增信行对纸质票据进行保管并为贴现人的偿付责任进行先行偿付。</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2"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b/>
          <w:bCs/>
          <w:color w:val="auto"/>
          <w:sz w:val="30"/>
          <w:szCs w:val="30"/>
        </w:rPr>
        <w:t>第二十五条</w:t>
      </w:r>
      <w:r>
        <w:rPr>
          <w:rFonts w:hint="eastAsia" w:asciiTheme="minorEastAsia" w:hAnsiTheme="minorEastAsia" w:eastAsiaTheme="minorEastAsia" w:cstheme="minorEastAsia"/>
          <w:color w:val="auto"/>
          <w:sz w:val="30"/>
          <w:szCs w:val="30"/>
        </w:rPr>
        <w:t>　已贴现票据应当通过票据市场基础设施办理背书转让、质押、保证、提示付款等票据业务。</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2"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b/>
          <w:bCs/>
          <w:color w:val="auto"/>
          <w:sz w:val="30"/>
          <w:szCs w:val="30"/>
        </w:rPr>
        <w:t>第二十六条</w:t>
      </w:r>
      <w:r>
        <w:rPr>
          <w:rFonts w:hint="eastAsia" w:asciiTheme="minorEastAsia" w:hAnsiTheme="minorEastAsia" w:eastAsiaTheme="minorEastAsia" w:cstheme="minorEastAsia"/>
          <w:color w:val="auto"/>
          <w:sz w:val="30"/>
          <w:szCs w:val="30"/>
        </w:rPr>
        <w:t>　纸质票据贴现后，其保管人可以向承兑人发起付款确认。付款确认可以采用实物确认或者影像确认。</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0"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color w:val="auto"/>
          <w:sz w:val="30"/>
          <w:szCs w:val="30"/>
        </w:rPr>
        <w:t>实物确认是指票据保管人将票据实物送达承兑人或者承兑人开户行，由承兑人在对票据真实性和背书连续性审查的基础上对到期付款责任进行确认。</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0"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color w:val="auto"/>
          <w:sz w:val="30"/>
          <w:szCs w:val="30"/>
        </w:rPr>
        <w:t>影像确认是指票据保管人将票据影像信息发送至承兑人或者承兑人开户行，由承兑人在对承兑信息和背书连续性审查的基础上对到期付款责任进行确认。</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0"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color w:val="auto"/>
          <w:sz w:val="30"/>
          <w:szCs w:val="30"/>
        </w:rPr>
        <w:t>承兑人要求实物确认的，银行承兑汇票保管人应当将票据送达承兑人，实物确认后，纸质票据由其承兑人代票据权利人妥善保管；商业承兑汇票保管人应当将票据通过承兑人开户行送达承兑人进行实物确认，实物确认后，纸质票据由商业承兑汇票开户行代票据权利人妥善保管。</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2"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b/>
          <w:bCs/>
          <w:color w:val="auto"/>
          <w:sz w:val="30"/>
          <w:szCs w:val="30"/>
        </w:rPr>
        <w:t>第二十七条</w:t>
      </w:r>
      <w:r>
        <w:rPr>
          <w:rFonts w:hint="eastAsia" w:asciiTheme="minorEastAsia" w:hAnsiTheme="minorEastAsia" w:eastAsiaTheme="minorEastAsia" w:cstheme="minorEastAsia"/>
          <w:color w:val="auto"/>
          <w:sz w:val="30"/>
          <w:szCs w:val="30"/>
        </w:rPr>
        <w:t>　实物确认与影像确认具有同等效力。承兑人或者承兑人开户行进行付款确认后，除挂失止付、公示催告等合法抗辩情形外，应当在持票人提示付款后付款。</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2"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b/>
          <w:bCs/>
          <w:color w:val="auto"/>
          <w:sz w:val="30"/>
          <w:szCs w:val="30"/>
        </w:rPr>
        <w:t>第二十八条</w:t>
      </w:r>
      <w:r>
        <w:rPr>
          <w:rFonts w:hint="eastAsia" w:asciiTheme="minorEastAsia" w:hAnsiTheme="minorEastAsia" w:eastAsiaTheme="minorEastAsia" w:cstheme="minorEastAsia"/>
          <w:color w:val="auto"/>
          <w:sz w:val="30"/>
          <w:szCs w:val="30"/>
        </w:rPr>
        <w:t>　承兑人收到票据影像确认请求或者票据实物后，应当在3个工作日内做出或者委托其开户行做出同意或者拒绝到期付款的应答。拒绝到期付款的，应当说明理由。</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2"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b/>
          <w:bCs/>
          <w:color w:val="auto"/>
          <w:sz w:val="30"/>
          <w:szCs w:val="30"/>
        </w:rPr>
        <w:t>第二十九条</w:t>
      </w:r>
      <w:r>
        <w:rPr>
          <w:rFonts w:hint="eastAsia" w:asciiTheme="minorEastAsia" w:hAnsiTheme="minorEastAsia" w:eastAsiaTheme="minorEastAsia" w:cstheme="minorEastAsia"/>
          <w:color w:val="auto"/>
          <w:sz w:val="30"/>
          <w:szCs w:val="30"/>
        </w:rPr>
        <w:t>　票据保管人应当采取切实措施保证纸质票据不被挪用、污损、涂改和灭失，并承担因保管不善引发的相关法律责任。</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2"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b/>
          <w:bCs/>
          <w:color w:val="auto"/>
          <w:sz w:val="30"/>
          <w:szCs w:val="30"/>
        </w:rPr>
        <w:t>第三十条</w:t>
      </w:r>
      <w:r>
        <w:rPr>
          <w:rFonts w:hint="eastAsia" w:asciiTheme="minorEastAsia" w:hAnsiTheme="minorEastAsia" w:eastAsiaTheme="minorEastAsia" w:cstheme="minorEastAsia"/>
          <w:color w:val="auto"/>
          <w:sz w:val="30"/>
          <w:szCs w:val="30"/>
        </w:rPr>
        <w:t>　电子商业汇票签发、承兑、质押、保证、贴现等信息应当通过电子商业汇票系统同步传送至票据市场基础设施。</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2"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b/>
          <w:bCs/>
          <w:color w:val="auto"/>
          <w:sz w:val="30"/>
          <w:szCs w:val="30"/>
        </w:rPr>
        <w:t>第三十一条</w:t>
      </w:r>
      <w:r>
        <w:rPr>
          <w:rFonts w:hint="eastAsia" w:asciiTheme="minorEastAsia" w:hAnsiTheme="minorEastAsia" w:eastAsiaTheme="minorEastAsia" w:cstheme="minorEastAsia"/>
          <w:color w:val="auto"/>
          <w:sz w:val="30"/>
          <w:szCs w:val="30"/>
        </w:rPr>
        <w:t>　电子商业汇票一经承兑即视同承兑人已进行付款确认。</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0" w:firstLineChars="200"/>
        <w:jc w:val="both"/>
        <w:textAlignment w:val="auto"/>
        <w:rPr>
          <w:rFonts w:hint="eastAsia" w:asciiTheme="minorEastAsia" w:hAnsiTheme="minorEastAsia" w:eastAsiaTheme="minorEastAsia" w:cstheme="minorEastAsia"/>
          <w:color w:val="auto"/>
          <w:sz w:val="30"/>
          <w:szCs w:val="30"/>
        </w:rPr>
      </w:pP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jc w:val="center"/>
        <w:textAlignment w:val="auto"/>
        <w:rPr>
          <w:rFonts w:hint="eastAsia" w:asciiTheme="minorEastAsia" w:hAnsiTheme="minorEastAsia" w:eastAsiaTheme="minorEastAsia" w:cstheme="minorEastAsia"/>
          <w:b/>
          <w:bCs/>
          <w:color w:val="auto"/>
          <w:sz w:val="30"/>
          <w:szCs w:val="30"/>
        </w:rPr>
      </w:pPr>
      <w:r>
        <w:rPr>
          <w:rFonts w:hint="eastAsia" w:asciiTheme="minorEastAsia" w:hAnsiTheme="minorEastAsia" w:eastAsiaTheme="minorEastAsia" w:cstheme="minorEastAsia"/>
          <w:b/>
          <w:bCs/>
          <w:color w:val="auto"/>
          <w:sz w:val="30"/>
          <w:szCs w:val="30"/>
        </w:rPr>
        <w:t>第五章　票据登记与托管</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2"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b/>
          <w:bCs/>
          <w:color w:val="auto"/>
          <w:sz w:val="30"/>
          <w:szCs w:val="30"/>
        </w:rPr>
        <w:t>第三十二条</w:t>
      </w:r>
      <w:r>
        <w:rPr>
          <w:rFonts w:hint="eastAsia" w:asciiTheme="minorEastAsia" w:hAnsiTheme="minorEastAsia" w:eastAsiaTheme="minorEastAsia" w:cstheme="minorEastAsia"/>
          <w:color w:val="auto"/>
          <w:sz w:val="30"/>
          <w:szCs w:val="30"/>
        </w:rPr>
        <w:t>　票据登记是指金融机构将票据权属在票据市场基础设施电子簿记系统予以记载的行为。</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2"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b/>
          <w:bCs/>
          <w:color w:val="auto"/>
          <w:sz w:val="30"/>
          <w:szCs w:val="30"/>
        </w:rPr>
        <w:t>第三十三条</w:t>
      </w:r>
      <w:r>
        <w:rPr>
          <w:rFonts w:hint="eastAsia" w:asciiTheme="minorEastAsia" w:hAnsiTheme="minorEastAsia" w:eastAsiaTheme="minorEastAsia" w:cstheme="minorEastAsia"/>
          <w:color w:val="auto"/>
          <w:sz w:val="30"/>
          <w:szCs w:val="30"/>
        </w:rPr>
        <w:t>　票据托管是指票据市场基础设施根据票据权利人委托对其持有票据的相关权益进行管理和维护的行为。</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2"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b/>
          <w:bCs/>
          <w:color w:val="auto"/>
          <w:sz w:val="30"/>
          <w:szCs w:val="30"/>
        </w:rPr>
        <w:t>第三十四条</w:t>
      </w:r>
      <w:r>
        <w:rPr>
          <w:rFonts w:hint="eastAsia" w:asciiTheme="minorEastAsia" w:hAnsiTheme="minorEastAsia" w:eastAsiaTheme="minorEastAsia" w:cstheme="minorEastAsia"/>
          <w:color w:val="auto"/>
          <w:sz w:val="30"/>
          <w:szCs w:val="30"/>
        </w:rPr>
        <w:t>　市场参与者应当在票据市场基础设施开立票据托管账户。</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0"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color w:val="auto"/>
          <w:sz w:val="30"/>
          <w:szCs w:val="30"/>
        </w:rPr>
        <w:t>市场参与者开立票据托管账户时，应当向票据市场基础设施提出申请，并保证所提交的开户资料真实、准确、完整。</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2"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b/>
          <w:bCs/>
          <w:color w:val="auto"/>
          <w:sz w:val="30"/>
          <w:szCs w:val="30"/>
        </w:rPr>
        <w:t>第三十五条</w:t>
      </w:r>
      <w:r>
        <w:rPr>
          <w:rFonts w:hint="eastAsia" w:asciiTheme="minorEastAsia" w:hAnsiTheme="minorEastAsia" w:eastAsiaTheme="minorEastAsia" w:cstheme="minorEastAsia"/>
          <w:color w:val="auto"/>
          <w:sz w:val="30"/>
          <w:szCs w:val="30"/>
        </w:rPr>
        <w:t>　票据托管账户采用实名制，不得出租、出借或者转让。</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2"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b/>
          <w:bCs/>
          <w:color w:val="auto"/>
          <w:sz w:val="30"/>
          <w:szCs w:val="30"/>
        </w:rPr>
        <w:t>第三十六条</w:t>
      </w:r>
      <w:r>
        <w:rPr>
          <w:rFonts w:hint="eastAsia" w:asciiTheme="minorEastAsia" w:hAnsiTheme="minorEastAsia" w:eastAsiaTheme="minorEastAsia" w:cstheme="minorEastAsia"/>
          <w:color w:val="auto"/>
          <w:sz w:val="30"/>
          <w:szCs w:val="30"/>
        </w:rPr>
        <w:t>　一个市场参与者只能开立一个票据托管账户，中国人民银行另有规定的除外。</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0"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color w:val="auto"/>
          <w:sz w:val="30"/>
          <w:szCs w:val="30"/>
        </w:rPr>
        <w:t>具有法人资格的市场参与者应当以法人名义开立票据托管账户；经法人授权的分支机构应当以分支机构名义开立票据托管账户；非法人市场参与者应当以产品名义单独开立票据托管账户。</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2"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b/>
          <w:bCs/>
          <w:color w:val="auto"/>
          <w:sz w:val="30"/>
          <w:szCs w:val="30"/>
        </w:rPr>
        <w:t>第三十七条</w:t>
      </w:r>
      <w:r>
        <w:rPr>
          <w:rFonts w:hint="eastAsia" w:asciiTheme="minorEastAsia" w:hAnsiTheme="minorEastAsia" w:eastAsiaTheme="minorEastAsia" w:cstheme="minorEastAsia"/>
          <w:color w:val="auto"/>
          <w:sz w:val="30"/>
          <w:szCs w:val="30"/>
        </w:rPr>
        <w:t>　贴现人应当于票据交易前在票据市场基础设施完成纸质票据登记工作，确保其提交的票据登记信息真实、有效，并承担相应法律责任。</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2"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b/>
          <w:bCs/>
          <w:color w:val="auto"/>
          <w:sz w:val="30"/>
          <w:szCs w:val="30"/>
        </w:rPr>
        <w:t>第三十八条</w:t>
      </w:r>
      <w:r>
        <w:rPr>
          <w:rFonts w:hint="eastAsia" w:asciiTheme="minorEastAsia" w:hAnsiTheme="minorEastAsia" w:eastAsiaTheme="minorEastAsia" w:cstheme="minorEastAsia"/>
          <w:color w:val="auto"/>
          <w:sz w:val="30"/>
          <w:szCs w:val="30"/>
        </w:rPr>
        <w:t>　票据市场基础设施依据电子商业汇票系统相关信息为持票人完成电子票据登记。</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2"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b/>
          <w:bCs/>
          <w:color w:val="auto"/>
          <w:sz w:val="30"/>
          <w:szCs w:val="30"/>
        </w:rPr>
        <w:t>第三十九条</w:t>
      </w:r>
      <w:r>
        <w:rPr>
          <w:rFonts w:hint="eastAsia" w:asciiTheme="minorEastAsia" w:hAnsiTheme="minorEastAsia" w:eastAsiaTheme="minorEastAsia" w:cstheme="minorEastAsia"/>
          <w:color w:val="auto"/>
          <w:sz w:val="30"/>
          <w:szCs w:val="30"/>
        </w:rPr>
        <w:t>　因票据的交易过户、非交易过户等原因引起票据托管账户余额变化的，票据市场基础设施应当为权利人办理票据变更登记。</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0" w:firstLineChars="200"/>
        <w:jc w:val="both"/>
        <w:textAlignment w:val="auto"/>
        <w:rPr>
          <w:rFonts w:hint="eastAsia" w:asciiTheme="minorEastAsia" w:hAnsiTheme="minorEastAsia" w:eastAsiaTheme="minorEastAsia" w:cstheme="minorEastAsia"/>
          <w:color w:val="auto"/>
          <w:sz w:val="30"/>
          <w:szCs w:val="30"/>
        </w:rPr>
      </w:pP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jc w:val="center"/>
        <w:textAlignment w:val="auto"/>
        <w:rPr>
          <w:rFonts w:hint="eastAsia" w:asciiTheme="minorEastAsia" w:hAnsiTheme="minorEastAsia" w:eastAsiaTheme="minorEastAsia" w:cstheme="minorEastAsia"/>
          <w:b/>
          <w:bCs/>
          <w:color w:val="auto"/>
          <w:sz w:val="30"/>
          <w:szCs w:val="30"/>
        </w:rPr>
      </w:pPr>
      <w:r>
        <w:rPr>
          <w:rFonts w:hint="eastAsia" w:asciiTheme="minorEastAsia" w:hAnsiTheme="minorEastAsia" w:eastAsiaTheme="minorEastAsia" w:cstheme="minorEastAsia"/>
          <w:b/>
          <w:bCs/>
          <w:color w:val="auto"/>
          <w:sz w:val="30"/>
          <w:szCs w:val="30"/>
        </w:rPr>
        <w:t>第六章　票据交易</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2"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b/>
          <w:bCs/>
          <w:color w:val="auto"/>
          <w:sz w:val="30"/>
          <w:szCs w:val="30"/>
        </w:rPr>
        <w:t>第四十条</w:t>
      </w:r>
      <w:r>
        <w:rPr>
          <w:rFonts w:hint="eastAsia" w:asciiTheme="minorEastAsia" w:hAnsiTheme="minorEastAsia" w:eastAsiaTheme="minorEastAsia" w:cstheme="minorEastAsia"/>
          <w:color w:val="auto"/>
          <w:sz w:val="30"/>
          <w:szCs w:val="30"/>
        </w:rPr>
        <w:t>　票据交易采取全国统一的运营管理模式，通过票据市场基础设施进行。</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2"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b/>
          <w:bCs/>
          <w:color w:val="auto"/>
          <w:sz w:val="30"/>
          <w:szCs w:val="30"/>
        </w:rPr>
        <w:t>第四十一条</w:t>
      </w:r>
      <w:r>
        <w:rPr>
          <w:rFonts w:hint="eastAsia" w:asciiTheme="minorEastAsia" w:hAnsiTheme="minorEastAsia" w:eastAsiaTheme="minorEastAsia" w:cstheme="minorEastAsia"/>
          <w:color w:val="auto"/>
          <w:sz w:val="30"/>
          <w:szCs w:val="30"/>
        </w:rPr>
        <w:t>　票据交易包括转贴现、质押式回购和买断式回购等。</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0"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color w:val="auto"/>
          <w:sz w:val="30"/>
          <w:szCs w:val="30"/>
        </w:rPr>
        <w:t>转贴现是指卖出方将未到期的已贴现票据向买入方转让的交易行为。</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0"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color w:val="auto"/>
          <w:sz w:val="30"/>
          <w:szCs w:val="30"/>
        </w:rPr>
        <w:t>质押式回购是指正回购方在将票据出质给逆回购方融入资金的同时，双方约定在未来某一日期由正回购方按约定金额向逆回购方返还资金、逆回购方向正回购方返还原出质票据的交易行为。</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0"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color w:val="auto"/>
          <w:sz w:val="30"/>
          <w:szCs w:val="30"/>
        </w:rPr>
        <w:t>买断式回购是指正回购方将票据卖给逆回购方的同时，双方约定在未来某一日期，正回购方再以约定价格从逆回购方买回票据的交易行为。</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2"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b/>
          <w:bCs/>
          <w:color w:val="auto"/>
          <w:sz w:val="30"/>
          <w:szCs w:val="30"/>
        </w:rPr>
        <w:t>第四十二条</w:t>
      </w:r>
      <w:r>
        <w:rPr>
          <w:rFonts w:hint="eastAsia" w:asciiTheme="minorEastAsia" w:hAnsiTheme="minorEastAsia" w:eastAsiaTheme="minorEastAsia" w:cstheme="minorEastAsia"/>
          <w:color w:val="auto"/>
          <w:sz w:val="30"/>
          <w:szCs w:val="30"/>
        </w:rPr>
        <w:t>　市场参与者完成票据登记后即可以开展交易，或者在付款确认、保证增信后开展交易。贴现人申请保证增信的，应当在首次交易前完成。</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2"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b/>
          <w:bCs/>
          <w:color w:val="auto"/>
          <w:sz w:val="30"/>
          <w:szCs w:val="30"/>
        </w:rPr>
        <w:t>第四十三条</w:t>
      </w:r>
      <w:r>
        <w:rPr>
          <w:rFonts w:hint="eastAsia" w:asciiTheme="minorEastAsia" w:hAnsiTheme="minorEastAsia" w:eastAsiaTheme="minorEastAsia" w:cstheme="minorEastAsia"/>
          <w:color w:val="auto"/>
          <w:sz w:val="30"/>
          <w:szCs w:val="30"/>
        </w:rPr>
        <w:t>　票据到期后偿付顺序如下：</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0"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color w:val="auto"/>
          <w:sz w:val="30"/>
          <w:szCs w:val="30"/>
        </w:rPr>
        <w:t>（一）票据未经承兑人付款确认和保证增信即交易的，若承兑人未付款，应当由贴现人先行偿付。该票据在交易后又经承兑人付款确认的，应当由承兑人付款；若承兑人未付款，应当由贴现人先行偿付。</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0"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color w:val="auto"/>
          <w:sz w:val="30"/>
          <w:szCs w:val="30"/>
        </w:rPr>
        <w:t>（二）票据经承兑人付款确认且未保证增信即交易的，应当由承兑人付款；若承兑人未付款，应当由贴现人先行偿付。</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0"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color w:val="auto"/>
          <w:sz w:val="30"/>
          <w:szCs w:val="30"/>
        </w:rPr>
        <w:t>（三）票据保证增信后即交易且未经承兑人付款确认的，若承兑人未付款，应当由保证增信行先行偿付；保证增信行未偿付的，应当由贴现人先行偿付。</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0"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color w:val="auto"/>
          <w:sz w:val="30"/>
          <w:szCs w:val="30"/>
        </w:rPr>
        <w:t>（四）票据保证增信后且经承兑人付款确认的，应当由承兑人付款；若承兑人未付款，应当由保证增信行先行偿付；保证增信行未偿付的，应当由贴现人先行偿付。</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2"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b/>
          <w:bCs/>
          <w:color w:val="auto"/>
          <w:sz w:val="30"/>
          <w:szCs w:val="30"/>
        </w:rPr>
        <w:t>第四十四条</w:t>
      </w:r>
      <w:r>
        <w:rPr>
          <w:rFonts w:hint="eastAsia" w:asciiTheme="minorEastAsia" w:hAnsiTheme="minorEastAsia" w:eastAsiaTheme="minorEastAsia" w:cstheme="minorEastAsia"/>
          <w:color w:val="auto"/>
          <w:sz w:val="30"/>
          <w:szCs w:val="30"/>
        </w:rPr>
        <w:t>　票据交易应当通过票据市场基础设施进行并生成成交单。成交单应当对交易日期、交易品种、交易利率等要素做出明确约定。</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0"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color w:val="auto"/>
          <w:sz w:val="30"/>
          <w:szCs w:val="30"/>
        </w:rPr>
        <w:t>票据成交单、票据交易主协议及补充协议（若有）构成交易双方完整的交易合同。</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0"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color w:val="auto"/>
          <w:sz w:val="30"/>
          <w:szCs w:val="30"/>
        </w:rPr>
        <w:t>票据交易合同一经成立，交易双方应当认真履行，不得擅自变更或者解除合同。</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2"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b/>
          <w:bCs/>
          <w:color w:val="auto"/>
          <w:sz w:val="30"/>
          <w:szCs w:val="30"/>
        </w:rPr>
        <w:t>第四十五条</w:t>
      </w:r>
      <w:r>
        <w:rPr>
          <w:rFonts w:hint="eastAsia" w:asciiTheme="minorEastAsia" w:hAnsiTheme="minorEastAsia" w:eastAsiaTheme="minorEastAsia" w:cstheme="minorEastAsia"/>
          <w:color w:val="auto"/>
          <w:sz w:val="30"/>
          <w:szCs w:val="30"/>
        </w:rPr>
        <w:t>　票据交易无需提供转贴现凭证、贴现凭证复印件、查询查复书及票面复印件等纸质资料。</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2"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b/>
          <w:bCs/>
          <w:color w:val="auto"/>
          <w:sz w:val="30"/>
          <w:szCs w:val="30"/>
        </w:rPr>
        <w:t>第四十六条</w:t>
      </w:r>
      <w:r>
        <w:rPr>
          <w:rFonts w:hint="eastAsia" w:asciiTheme="minorEastAsia" w:hAnsiTheme="minorEastAsia" w:eastAsiaTheme="minorEastAsia" w:cstheme="minorEastAsia"/>
          <w:color w:val="auto"/>
          <w:sz w:val="30"/>
          <w:szCs w:val="30"/>
        </w:rPr>
        <w:t>　票据贴现、转贴现的计息期限，从贴现、转贴现之日起至票据到期日止，到期日遇法定节假日的顺延至下一工作日。</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2"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b/>
          <w:bCs/>
          <w:color w:val="auto"/>
          <w:sz w:val="30"/>
          <w:szCs w:val="30"/>
        </w:rPr>
        <w:t>第四十七条</w:t>
      </w:r>
      <w:r>
        <w:rPr>
          <w:rFonts w:hint="eastAsia" w:asciiTheme="minorEastAsia" w:hAnsiTheme="minorEastAsia" w:eastAsiaTheme="minorEastAsia" w:cstheme="minorEastAsia"/>
          <w:color w:val="auto"/>
          <w:sz w:val="30"/>
          <w:szCs w:val="30"/>
        </w:rPr>
        <w:t>　质押式回购和买断式回购最短期限为1天，并应当小于票据剩余期限。</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2"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b/>
          <w:bCs/>
          <w:color w:val="auto"/>
          <w:sz w:val="30"/>
          <w:szCs w:val="30"/>
        </w:rPr>
        <w:t>第四十八条</w:t>
      </w:r>
      <w:r>
        <w:rPr>
          <w:rFonts w:hint="eastAsia" w:asciiTheme="minorEastAsia" w:hAnsiTheme="minorEastAsia" w:eastAsiaTheme="minorEastAsia" w:cstheme="minorEastAsia"/>
          <w:color w:val="auto"/>
          <w:sz w:val="30"/>
          <w:szCs w:val="30"/>
        </w:rPr>
        <w:t>　质押式回购的回购金额不得超过质押票据的票面总额。</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0" w:firstLineChars="200"/>
        <w:jc w:val="both"/>
        <w:textAlignment w:val="auto"/>
        <w:rPr>
          <w:rFonts w:hint="eastAsia" w:asciiTheme="minorEastAsia" w:hAnsiTheme="minorEastAsia" w:eastAsiaTheme="minorEastAsia" w:cstheme="minorEastAsia"/>
          <w:color w:val="auto"/>
          <w:sz w:val="30"/>
          <w:szCs w:val="30"/>
        </w:rPr>
      </w:pP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jc w:val="center"/>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b/>
          <w:bCs/>
          <w:color w:val="auto"/>
          <w:sz w:val="30"/>
          <w:szCs w:val="30"/>
        </w:rPr>
        <w:t>第七章　票据交易结算与到期处理</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2"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b/>
          <w:bCs/>
          <w:color w:val="auto"/>
          <w:sz w:val="30"/>
          <w:szCs w:val="30"/>
        </w:rPr>
        <w:t>第四十九条</w:t>
      </w:r>
      <w:r>
        <w:rPr>
          <w:rFonts w:hint="eastAsia" w:asciiTheme="minorEastAsia" w:hAnsiTheme="minorEastAsia" w:eastAsiaTheme="minorEastAsia" w:cstheme="minorEastAsia"/>
          <w:color w:val="auto"/>
          <w:sz w:val="30"/>
          <w:szCs w:val="30"/>
        </w:rPr>
        <w:t>　票据交易的结算通过票据市场基础设施电子簿记系统进行，包括票款对付和纯票过户。</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0"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color w:val="auto"/>
          <w:sz w:val="30"/>
          <w:szCs w:val="30"/>
        </w:rPr>
        <w:t>票款对付是指结算双方同步办理票据过户和资金支付并互为条件的结算方式。</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0"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color w:val="auto"/>
          <w:sz w:val="30"/>
          <w:szCs w:val="30"/>
        </w:rPr>
        <w:t>纯票过户是指结算双方的票据过户与资金支付相互独立的结算方式。</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2"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b/>
          <w:bCs/>
          <w:color w:val="auto"/>
          <w:sz w:val="30"/>
          <w:szCs w:val="30"/>
        </w:rPr>
        <w:t>第五十条</w:t>
      </w:r>
      <w:r>
        <w:rPr>
          <w:rFonts w:hint="eastAsia" w:asciiTheme="minorEastAsia" w:hAnsiTheme="minorEastAsia" w:eastAsiaTheme="minorEastAsia" w:cstheme="minorEastAsia"/>
          <w:color w:val="auto"/>
          <w:sz w:val="30"/>
          <w:szCs w:val="30"/>
        </w:rPr>
        <w:t>　市场参与者开展票据交易应当采用票款对付，同一法人分支机构间的票据交易可以采用纯票过户。</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2"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b/>
          <w:bCs/>
          <w:color w:val="auto"/>
          <w:sz w:val="30"/>
          <w:szCs w:val="30"/>
        </w:rPr>
        <w:t>第五十一条</w:t>
      </w:r>
      <w:r>
        <w:rPr>
          <w:rFonts w:hint="eastAsia" w:asciiTheme="minorEastAsia" w:hAnsiTheme="minorEastAsia" w:eastAsiaTheme="minorEastAsia" w:cstheme="minorEastAsia"/>
          <w:color w:val="auto"/>
          <w:sz w:val="30"/>
          <w:szCs w:val="30"/>
        </w:rPr>
        <w:t>　已在大额支付系统开立清算账户的市场参与者，应当通过其在大额支付系统的清算账户办理票款对付的资金结算。</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0"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color w:val="auto"/>
          <w:sz w:val="30"/>
          <w:szCs w:val="30"/>
        </w:rPr>
        <w:t>未在大额支付系统开立清算账户的市场参与者，应当委托票据市场基础设施代理票款对付的资金结算。</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2"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b/>
          <w:bCs/>
          <w:color w:val="auto"/>
          <w:sz w:val="30"/>
          <w:szCs w:val="30"/>
        </w:rPr>
        <w:t>第五十二条</w:t>
      </w:r>
      <w:r>
        <w:rPr>
          <w:rFonts w:hint="eastAsia" w:asciiTheme="minorEastAsia" w:hAnsiTheme="minorEastAsia" w:eastAsiaTheme="minorEastAsia" w:cstheme="minorEastAsia"/>
          <w:color w:val="auto"/>
          <w:sz w:val="30"/>
          <w:szCs w:val="30"/>
        </w:rPr>
        <w:t>　票据市场基础设施代理票款对付的资金结算时，应当通过其在大额支付系统的清算账户进行。票据市场基础设施应当在该账户下，为委托其代理资金结算的市场参与者开立票据结算资金专户。</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2"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b/>
          <w:bCs/>
          <w:color w:val="auto"/>
          <w:sz w:val="30"/>
          <w:szCs w:val="30"/>
        </w:rPr>
        <w:t>第五十三条</w:t>
      </w:r>
      <w:r>
        <w:rPr>
          <w:rFonts w:hint="eastAsia" w:asciiTheme="minorEastAsia" w:hAnsiTheme="minorEastAsia" w:eastAsiaTheme="minorEastAsia" w:cstheme="minorEastAsia"/>
          <w:color w:val="auto"/>
          <w:sz w:val="30"/>
          <w:szCs w:val="30"/>
        </w:rPr>
        <w:t>　交易双方应当根据合同约定，确保在约定结算日有用于结算的足额票据和资金。</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2"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b/>
          <w:bCs/>
          <w:color w:val="auto"/>
          <w:sz w:val="30"/>
          <w:szCs w:val="30"/>
        </w:rPr>
        <w:t>第五十四条</w:t>
      </w:r>
      <w:r>
        <w:rPr>
          <w:rFonts w:hint="eastAsia" w:asciiTheme="minorEastAsia" w:hAnsiTheme="minorEastAsia" w:eastAsiaTheme="minorEastAsia" w:cstheme="minorEastAsia"/>
          <w:color w:val="auto"/>
          <w:sz w:val="30"/>
          <w:szCs w:val="30"/>
        </w:rPr>
        <w:t>　在票据交易达成后结算完成之前，不得动用该笔交易项下用于结算的票据、资金或者担保物。</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2"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b/>
          <w:bCs/>
          <w:color w:val="auto"/>
          <w:sz w:val="30"/>
          <w:szCs w:val="30"/>
        </w:rPr>
        <w:t>第五十五条</w:t>
      </w:r>
      <w:r>
        <w:rPr>
          <w:rFonts w:hint="eastAsia" w:asciiTheme="minorEastAsia" w:hAnsiTheme="minorEastAsia" w:eastAsiaTheme="minorEastAsia" w:cstheme="minorEastAsia"/>
          <w:color w:val="auto"/>
          <w:sz w:val="30"/>
          <w:szCs w:val="30"/>
        </w:rPr>
        <w:t>　办理法院强制执行、税收、债权债务承继、赠与等非交易票据过户的，票据市场基础设施应当要求当事人提交合法有效的法律文件。</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2"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b/>
          <w:bCs/>
          <w:color w:val="auto"/>
          <w:sz w:val="30"/>
          <w:szCs w:val="30"/>
        </w:rPr>
        <w:t>第五十六条</w:t>
      </w:r>
      <w:r>
        <w:rPr>
          <w:rFonts w:hint="eastAsia" w:asciiTheme="minorEastAsia" w:hAnsiTheme="minorEastAsia" w:eastAsiaTheme="minorEastAsia" w:cstheme="minorEastAsia"/>
          <w:color w:val="auto"/>
          <w:sz w:val="30"/>
          <w:szCs w:val="30"/>
        </w:rPr>
        <w:t>　持票人在提示付款期内通过票据市场基础设施提示付款的，承兑人应当在提示付款当日进行应答或者委托其开户行进行应答。</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0"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color w:val="auto"/>
          <w:sz w:val="30"/>
          <w:szCs w:val="30"/>
        </w:rPr>
        <w:t>承兑人存在合法抗辩事由拒绝付款的，应当在提示付款当日出具或者委托其开户行出具拒绝付款证明，并通过票据市场基础设施通知持票人。</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0"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color w:val="auto"/>
          <w:sz w:val="30"/>
          <w:szCs w:val="30"/>
        </w:rPr>
        <w:t>承兑人或者承兑人开户行在提示付款当日未做出应答的，视为拒绝付款，票据市场基础设施提供拒绝付款证明并通知持票人。</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2"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b/>
          <w:bCs/>
          <w:color w:val="auto"/>
          <w:sz w:val="30"/>
          <w:szCs w:val="30"/>
        </w:rPr>
        <w:t>第五十七条</w:t>
      </w:r>
      <w:r>
        <w:rPr>
          <w:rFonts w:hint="eastAsia" w:asciiTheme="minorEastAsia" w:hAnsiTheme="minorEastAsia" w:eastAsiaTheme="minorEastAsia" w:cstheme="minorEastAsia"/>
          <w:color w:val="auto"/>
          <w:sz w:val="30"/>
          <w:szCs w:val="30"/>
        </w:rPr>
        <w:t>　商业承兑汇票承兑人在提示付款当日同意付款的，承兑人开户行应当根据承兑人账户余额情况予以处理。</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0"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color w:val="auto"/>
          <w:sz w:val="30"/>
          <w:szCs w:val="30"/>
        </w:rPr>
        <w:t>（一）承兑人账户余额足够支付票款的，承兑人开户行应当代承兑人做出同意付款应答，并于提示付款日向持票人付款。</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0"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color w:val="auto"/>
          <w:sz w:val="30"/>
          <w:szCs w:val="30"/>
        </w:rPr>
        <w:t>（二）承兑人账户余额不足以支付票款的，则视同承兑人拒绝付款。承兑人开户行应当于提示付款日代承兑人做出拒付应答并说明理由，同时通过票据市场基础设施通知持票人。</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2"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b/>
          <w:bCs/>
          <w:color w:val="auto"/>
          <w:sz w:val="30"/>
          <w:szCs w:val="30"/>
        </w:rPr>
        <w:t>第五十八条</w:t>
      </w:r>
      <w:r>
        <w:rPr>
          <w:rFonts w:hint="eastAsia" w:asciiTheme="minorEastAsia" w:hAnsiTheme="minorEastAsia" w:eastAsiaTheme="minorEastAsia" w:cstheme="minorEastAsia"/>
          <w:color w:val="auto"/>
          <w:sz w:val="30"/>
          <w:szCs w:val="30"/>
        </w:rPr>
        <w:t>　银行承兑汇票的承兑人已于到期前进行付款确认的，票据市场基础设施应当根据承兑人的委托于提示付款日代承兑人发送指令划付资金至持票人资金账户。</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0"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color w:val="auto"/>
          <w:sz w:val="30"/>
          <w:szCs w:val="30"/>
        </w:rPr>
        <w:t>商业承兑汇票的承兑人已于到期前进行付款确认的，承兑人开户行应当根据承兑人委托于提示付款日扣划承兑人账户资金，并将相应款项划付至持票人资金账户。</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2"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b/>
          <w:bCs/>
          <w:color w:val="auto"/>
          <w:sz w:val="30"/>
          <w:szCs w:val="30"/>
        </w:rPr>
        <w:t>第五十九条</w:t>
      </w:r>
      <w:r>
        <w:rPr>
          <w:rFonts w:hint="eastAsia" w:asciiTheme="minorEastAsia" w:hAnsiTheme="minorEastAsia" w:eastAsiaTheme="minorEastAsia" w:cstheme="minorEastAsia"/>
          <w:color w:val="auto"/>
          <w:sz w:val="30"/>
          <w:szCs w:val="30"/>
        </w:rPr>
        <w:t>　保证增信行或者贴现人承担偿付责任时，应当委托票据市场基础设施代其发送指令划付资金至持票人资金账户。</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2"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b/>
          <w:bCs/>
          <w:color w:val="auto"/>
          <w:sz w:val="30"/>
          <w:szCs w:val="30"/>
        </w:rPr>
        <w:t>第六十条</w:t>
      </w:r>
      <w:r>
        <w:rPr>
          <w:rFonts w:hint="eastAsia" w:asciiTheme="minorEastAsia" w:hAnsiTheme="minorEastAsia" w:eastAsiaTheme="minorEastAsia" w:cstheme="minorEastAsia"/>
          <w:color w:val="auto"/>
          <w:sz w:val="30"/>
          <w:szCs w:val="30"/>
        </w:rPr>
        <w:t>　承兑人或者出票人付款后，票据保管人应当参照会计档案保管要求对票据进行保管。承兑人进行影像确认并付款的，可以凭票据市场基础设施的提示付款通知、划款通知以及留存的票据底卡联作为会计记账凭证。</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2"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b/>
          <w:bCs/>
          <w:color w:val="auto"/>
          <w:sz w:val="30"/>
          <w:szCs w:val="30"/>
        </w:rPr>
        <w:t>第六十一条</w:t>
      </w:r>
      <w:r>
        <w:rPr>
          <w:rFonts w:hint="eastAsia" w:asciiTheme="minorEastAsia" w:hAnsiTheme="minorEastAsia" w:eastAsiaTheme="minorEastAsia" w:cstheme="minorEastAsia"/>
          <w:color w:val="auto"/>
          <w:sz w:val="30"/>
          <w:szCs w:val="30"/>
        </w:rPr>
        <w:t>　票据发生法律纠纷时，依据有权申请人的请求，票据市场基础设施应当出具票据登记、托管和交易流转记录；票据保管人应当提供相应票据实物。</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0" w:firstLineChars="200"/>
        <w:jc w:val="both"/>
        <w:textAlignment w:val="auto"/>
        <w:rPr>
          <w:rFonts w:hint="eastAsia" w:asciiTheme="minorEastAsia" w:hAnsiTheme="minorEastAsia" w:eastAsiaTheme="minorEastAsia" w:cstheme="minorEastAsia"/>
          <w:color w:val="auto"/>
          <w:sz w:val="30"/>
          <w:szCs w:val="30"/>
        </w:rPr>
      </w:pP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0" w:firstLineChars="200"/>
        <w:jc w:val="center"/>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color w:val="auto"/>
          <w:sz w:val="30"/>
          <w:szCs w:val="30"/>
        </w:rPr>
        <w:t>第八章　附　　则</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0" w:firstLineChars="200"/>
        <w:jc w:val="both"/>
        <w:textAlignment w:val="auto"/>
        <w:rPr>
          <w:rFonts w:hint="eastAsia" w:asciiTheme="minorEastAsia" w:hAnsiTheme="minorEastAsia" w:eastAsiaTheme="minorEastAsia" w:cstheme="minorEastAsia"/>
          <w:color w:val="auto"/>
          <w:sz w:val="30"/>
          <w:szCs w:val="30"/>
        </w:rPr>
      </w:pP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2"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b/>
          <w:bCs/>
          <w:color w:val="auto"/>
          <w:sz w:val="30"/>
          <w:szCs w:val="30"/>
        </w:rPr>
        <w:t>第六十二条</w:t>
      </w:r>
      <w:r>
        <w:rPr>
          <w:rFonts w:hint="eastAsia" w:asciiTheme="minorEastAsia" w:hAnsiTheme="minorEastAsia" w:eastAsiaTheme="minorEastAsia" w:cstheme="minorEastAsia"/>
          <w:color w:val="auto"/>
          <w:sz w:val="30"/>
          <w:szCs w:val="30"/>
        </w:rPr>
        <w:t>　票据市场基础设施依照本办法及中国人民银行有关规定制定相关业务规则，报中国人民银行同意后施行。</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2"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b/>
          <w:bCs/>
          <w:color w:val="auto"/>
          <w:sz w:val="30"/>
          <w:szCs w:val="30"/>
        </w:rPr>
        <w:t>第六十三条</w:t>
      </w:r>
      <w:r>
        <w:rPr>
          <w:rFonts w:hint="eastAsia" w:asciiTheme="minorEastAsia" w:hAnsiTheme="minorEastAsia" w:eastAsiaTheme="minorEastAsia" w:cstheme="minorEastAsia"/>
          <w:color w:val="auto"/>
          <w:sz w:val="30"/>
          <w:szCs w:val="30"/>
        </w:rPr>
        <w:t>　本办法施行前制定的相关规定，与本办法相抵触的，以本办法为准。</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2"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b/>
          <w:bCs/>
          <w:color w:val="auto"/>
          <w:sz w:val="30"/>
          <w:szCs w:val="30"/>
        </w:rPr>
        <w:t>第六十四条</w:t>
      </w:r>
      <w:r>
        <w:rPr>
          <w:rFonts w:hint="eastAsia" w:asciiTheme="minorEastAsia" w:hAnsiTheme="minorEastAsia" w:eastAsiaTheme="minorEastAsia" w:cstheme="minorEastAsia"/>
          <w:color w:val="auto"/>
          <w:sz w:val="30"/>
          <w:szCs w:val="30"/>
        </w:rPr>
        <w:t>　本办法由中国人民银行负责解释。</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602" w:firstLineChars="200"/>
        <w:jc w:val="both"/>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b/>
          <w:bCs/>
          <w:color w:val="auto"/>
          <w:sz w:val="30"/>
          <w:szCs w:val="30"/>
        </w:rPr>
        <w:t>第六十五条</w:t>
      </w:r>
      <w:r>
        <w:rPr>
          <w:rFonts w:hint="eastAsia" w:asciiTheme="minorEastAsia" w:hAnsiTheme="minorEastAsia" w:eastAsiaTheme="minorEastAsia" w:cstheme="minorEastAsia"/>
          <w:color w:val="auto"/>
          <w:sz w:val="30"/>
          <w:szCs w:val="30"/>
        </w:rPr>
        <w:t>　本办法自公布之日起施行，过渡期按照《中国人民银行办公厅关于做好票据交易平台接入准备工作的通知》（银办发〔2016〕224号）执行。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50338"/>
    <w:rsid w:val="00070B64"/>
    <w:rsid w:val="00540923"/>
    <w:rsid w:val="00550338"/>
    <w:rsid w:val="005732AC"/>
    <w:rsid w:val="007053CC"/>
    <w:rsid w:val="6D3911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uiPriority w:val="99"/>
    <w:pPr>
      <w:tabs>
        <w:tab w:val="center" w:pos="4153"/>
        <w:tab w:val="right" w:pos="8306"/>
      </w:tabs>
      <w:snapToGrid w:val="0"/>
      <w:jc w:val="left"/>
    </w:pPr>
    <w:rPr>
      <w:sz w:val="18"/>
      <w:szCs w:val="18"/>
    </w:rPr>
  </w:style>
  <w:style w:type="paragraph" w:styleId="3">
    <w:name w:val="header"/>
    <w:basedOn w:val="1"/>
    <w:link w:val="7"/>
    <w:semiHidden/>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Char"/>
    <w:basedOn w:val="6"/>
    <w:link w:val="3"/>
    <w:semiHidden/>
    <w:uiPriority w:val="99"/>
    <w:rPr>
      <w:sz w:val="18"/>
      <w:szCs w:val="18"/>
    </w:rPr>
  </w:style>
  <w:style w:type="character" w:customStyle="1" w:styleId="8">
    <w:name w:val="页脚 Char"/>
    <w:basedOn w:val="6"/>
    <w:link w:val="2"/>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13</Pages>
  <Words>888</Words>
  <Characters>5064</Characters>
  <Lines>42</Lines>
  <Paragraphs>11</Paragraphs>
  <TotalTime>4</TotalTime>
  <ScaleCrop>false</ScaleCrop>
  <LinksUpToDate>false</LinksUpToDate>
  <CharactersWithSpaces>5941</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2019-06-13T08:41:00Z</dcterms:created>
  <dc:creator>le</dc:creator>
  <cp:lastModifiedBy>lenovo</cp:lastModifiedBy>
  <dcterms:modified xsi:type="dcterms:W3CDTF">2019-07-02T08:38:14Z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