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auto"/>
          <w:sz w:val="40"/>
          <w:szCs w:val="40"/>
          <w:lang w:eastAsia="zh-CN"/>
        </w:rPr>
      </w:pPr>
      <w:r>
        <w:rPr>
          <w:rFonts w:hint="eastAsia" w:ascii="黑体" w:hAnsi="黑体" w:eastAsia="黑体" w:cs="黑体"/>
          <w:color w:val="auto"/>
          <w:sz w:val="40"/>
          <w:szCs w:val="40"/>
          <w:lang w:eastAsia="zh-CN"/>
        </w:rPr>
        <w:t>中国人民银行关于信用卡有关事项的通知</w:t>
      </w:r>
    </w:p>
    <w:p>
      <w:pPr>
        <w:jc w:val="center"/>
        <w:rPr>
          <w:rFonts w:hint="eastAsia" w:asciiTheme="minorEastAsia" w:hAnsiTheme="minorEastAsia" w:eastAsiaTheme="minorEastAsia" w:cstheme="minorEastAsia"/>
          <w:color w:val="auto"/>
          <w:sz w:val="30"/>
          <w:szCs w:val="30"/>
          <w:lang w:val="en-US" w:eastAsia="zh-CN"/>
        </w:rPr>
      </w:pPr>
      <w:r>
        <w:rPr>
          <w:rFonts w:hint="eastAsia" w:asciiTheme="minorEastAsia" w:hAnsiTheme="minorEastAsia" w:eastAsiaTheme="minorEastAsia" w:cstheme="minorEastAsia"/>
          <w:color w:val="auto"/>
          <w:sz w:val="30"/>
          <w:szCs w:val="30"/>
          <w:lang w:eastAsia="zh-CN"/>
        </w:rPr>
        <w:t>银发〔2016〕</w:t>
      </w:r>
      <w:r>
        <w:rPr>
          <w:rFonts w:hint="eastAsia" w:asciiTheme="minorEastAsia" w:hAnsiTheme="minorEastAsia" w:eastAsiaTheme="minorEastAsia" w:cstheme="minorEastAsia"/>
          <w:color w:val="auto"/>
          <w:sz w:val="30"/>
          <w:szCs w:val="30"/>
          <w:lang w:val="en-US" w:eastAsia="zh-CN"/>
        </w:rPr>
        <w:t>111号</w:t>
      </w:r>
    </w:p>
    <w:p>
      <w:pPr>
        <w:jc w:val="center"/>
        <w:rPr>
          <w:rFonts w:hint="eastAsia" w:asciiTheme="minorEastAsia" w:hAnsiTheme="minorEastAsia" w:eastAsiaTheme="minorEastAsia" w:cstheme="minorEastAsia"/>
          <w:color w:val="auto"/>
          <w:sz w:val="30"/>
          <w:szCs w:val="30"/>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right="0" w:rightChars="0"/>
        <w:jc w:val="both"/>
        <w:textAlignment w:val="auto"/>
        <w:outlineLvl w:val="9"/>
        <w:rPr>
          <w:rFonts w:hint="eastAsia" w:asciiTheme="minorEastAsia" w:hAnsiTheme="minorEastAsia" w:eastAsiaTheme="minorEastAsia" w:cstheme="minorEastAsia"/>
          <w:b w:val="0"/>
          <w:i w:val="0"/>
          <w:caps w:val="0"/>
          <w:color w:val="auto"/>
          <w:spacing w:val="0"/>
          <w:sz w:val="30"/>
          <w:szCs w:val="30"/>
          <w:shd w:val="clear" w:fill="FFFFFF"/>
        </w:rPr>
      </w:pPr>
      <w:r>
        <w:rPr>
          <w:rFonts w:hint="eastAsia" w:asciiTheme="minorEastAsia" w:hAnsiTheme="minorEastAsia" w:eastAsiaTheme="minorEastAsia" w:cstheme="minorEastAsia"/>
          <w:b w:val="0"/>
          <w:i w:val="0"/>
          <w:caps w:val="0"/>
          <w:color w:val="auto"/>
          <w:spacing w:val="0"/>
          <w:sz w:val="30"/>
          <w:szCs w:val="30"/>
          <w:shd w:val="clear" w:fill="FFFFFF"/>
        </w:rPr>
        <w:t>中国人民银行上海总部，各分行、营业管理部，各省会（首府）城市中心支行，深圳市中心支行；各国有商业银行、股份制商业银行，中国邮政储蓄银行；中国银联股份有限公司；中国支付清算协会：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为完善信用卡业务市场化机制，提高信用卡服务水平，保障持卡人合法权益，促进信用卡市场健康发展，现就有关事项通知如下：</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shd w:val="clear" w:fill="FFFFFF"/>
        </w:rPr>
      </w:pPr>
      <w:r>
        <w:rPr>
          <w:rFonts w:hint="eastAsia" w:asciiTheme="minorEastAsia" w:hAnsiTheme="minorEastAsia" w:eastAsiaTheme="minorEastAsia" w:cstheme="minorEastAsia"/>
          <w:b w:val="0"/>
          <w:i w:val="0"/>
          <w:caps w:val="0"/>
          <w:color w:val="auto"/>
          <w:spacing w:val="0"/>
          <w:sz w:val="30"/>
          <w:szCs w:val="30"/>
          <w:shd w:val="clear" w:fill="FFFFFF"/>
        </w:rPr>
        <w:t>利率标准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对信用卡透支利率实行上限和下限管理，透支利率上限为日利率万分之五，透支利率下限为日利率万分之五的0.7倍。信用卡透支的计结息方式，以及对信用卡溢缴款是否计付利息及其利率标准，由发卡机构自主确定。</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免息还款期和最低还款额</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持卡人透支消费享受免息还款期和最低还款额待遇的条件和标准等，由发卡机构自主确定。</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shd w:val="clear" w:fill="FFFFFF"/>
        </w:rPr>
      </w:pPr>
      <w:r>
        <w:rPr>
          <w:rFonts w:hint="eastAsia" w:asciiTheme="minorEastAsia" w:hAnsiTheme="minorEastAsia" w:eastAsiaTheme="minorEastAsia" w:cstheme="minorEastAsia"/>
          <w:b w:val="0"/>
          <w:i w:val="0"/>
          <w:caps w:val="0"/>
          <w:color w:val="auto"/>
          <w:spacing w:val="0"/>
          <w:sz w:val="30"/>
          <w:szCs w:val="30"/>
          <w:shd w:val="clear" w:fill="FFFFFF"/>
        </w:rPr>
        <w:t>违约金和服务费用</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取消信用卡滞纳金，对于持卡人违约逾期未还款的行为，发卡机构应与持卡人通过协议约定是否收取违约金，以及相关收取方式和标准。发卡机构向持卡人提供超过授信额度用卡服务的，不得收取超限费。发卡机构对向持卡人收取的违约金和年费、取现手续费、货币兑换费等服务费用不得计收利息。</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shd w:val="clear" w:fill="FFFFFF"/>
        </w:rPr>
      </w:pPr>
      <w:r>
        <w:rPr>
          <w:rFonts w:hint="eastAsia" w:asciiTheme="minorEastAsia" w:hAnsiTheme="minorEastAsia" w:eastAsiaTheme="minorEastAsia" w:cstheme="minorEastAsia"/>
          <w:b w:val="0"/>
          <w:i w:val="0"/>
          <w:caps w:val="0"/>
          <w:color w:val="auto"/>
          <w:spacing w:val="0"/>
          <w:sz w:val="30"/>
          <w:szCs w:val="30"/>
          <w:shd w:val="clear" w:fill="FFFFFF"/>
        </w:rPr>
        <w:t>信用卡预借现金业务</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shd w:val="clear" w:fill="FFFFFF"/>
        </w:rPr>
      </w:pPr>
      <w:r>
        <w:rPr>
          <w:rFonts w:hint="eastAsia" w:asciiTheme="minorEastAsia" w:hAnsiTheme="minorEastAsia" w:eastAsiaTheme="minorEastAsia" w:cstheme="minorEastAsia"/>
          <w:b w:val="0"/>
          <w:i w:val="0"/>
          <w:caps w:val="0"/>
          <w:color w:val="auto"/>
          <w:spacing w:val="0"/>
          <w:sz w:val="30"/>
          <w:szCs w:val="30"/>
          <w:shd w:val="clear" w:fill="FFFFFF"/>
        </w:rPr>
        <w:t>信用卡预借现金业务包括现金提取、现金转账和现金充值。其中，现金提取，是指持卡人通过柜面和自动柜员机（ATM）等自助机具，以现钞形式获得信用卡预借现金额度内资金；现金转账，是指持卡人将信用卡预借现金额度内资金划转到本人银行结算账户；现金充值，是指持卡人将信用卡预借现金额度内资金划转到本人在非银行支付机构开立的支付账户。</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持卡人通过ATM等自助机具办理现金提取业务，每卡每日累计不得超过人民币1万元；持卡人通过柜面办理现金提取业务、通过各类渠道办理现金转账业务的每卡每日限额，由发卡机构与持卡人通过协议约定;发卡机构可自主确定是否提供现金充值服务，并与持卡人协议约定每卡每日限额。发卡机构不得将持卡人信用卡预借现金额度内资金划转至其他信用卡，以及非持卡人的银行结算账户或支付账户。</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shd w:val="clear" w:fill="FFFFFF"/>
        </w:rPr>
      </w:pPr>
      <w:r>
        <w:rPr>
          <w:rFonts w:hint="eastAsia" w:asciiTheme="minorEastAsia" w:hAnsiTheme="minorEastAsia" w:eastAsiaTheme="minorEastAsia" w:cstheme="minorEastAsia"/>
          <w:b w:val="0"/>
          <w:i w:val="0"/>
          <w:caps w:val="0"/>
          <w:color w:val="auto"/>
          <w:spacing w:val="0"/>
          <w:sz w:val="30"/>
          <w:szCs w:val="30"/>
          <w:shd w:val="clear" w:fill="FFFFFF"/>
        </w:rPr>
        <w:t>交易信息</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银行卡清算机构应会同发卡机构和收单机构，严格按照银行卡业务相关监管规定，进一步完善信用卡交易业务规则和技术标准。各发卡机构、收单机构应真实反映、准确标识现金提取、现金转账和现金充值等业务类型，完整传输交易信息，确保交易信息的真实性、完整性、可追溯性以及在支付过程中的一致性，便利发卡机构识别与判断风险，保障信用卡交易安全。</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shd w:val="clear" w:fill="FFFFFF"/>
        </w:rPr>
      </w:pPr>
      <w:r>
        <w:rPr>
          <w:rFonts w:hint="eastAsia" w:asciiTheme="minorEastAsia" w:hAnsiTheme="minorEastAsia" w:eastAsiaTheme="minorEastAsia" w:cstheme="minorEastAsia"/>
          <w:b w:val="0"/>
          <w:i w:val="0"/>
          <w:caps w:val="0"/>
          <w:color w:val="auto"/>
          <w:spacing w:val="0"/>
          <w:sz w:val="30"/>
          <w:szCs w:val="30"/>
          <w:shd w:val="clear" w:fill="FFFFFF"/>
        </w:rPr>
        <w:t>信息披露义务</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shd w:val="clear" w:fill="FFFFFF"/>
        </w:rPr>
      </w:pPr>
      <w:r>
        <w:rPr>
          <w:rFonts w:hint="eastAsia" w:asciiTheme="minorEastAsia" w:hAnsiTheme="minorEastAsia" w:eastAsiaTheme="minorEastAsia" w:cstheme="minorEastAsia"/>
          <w:b w:val="0"/>
          <w:i w:val="0"/>
          <w:caps w:val="0"/>
          <w:color w:val="auto"/>
          <w:spacing w:val="0"/>
          <w:sz w:val="30"/>
          <w:szCs w:val="30"/>
          <w:shd w:val="clear" w:fill="FFFFFF"/>
        </w:rPr>
        <w:t>发卡机构应通过本机构网站等渠道，充分披露信用卡申请条件、产品功能、收费项目与标准、安全用卡知识和信用卡标准协议与章程等内容，并及时进行更新。</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shd w:val="clear" w:fill="FFFFFF"/>
        </w:rPr>
      </w:pPr>
      <w:r>
        <w:rPr>
          <w:rFonts w:hint="eastAsia" w:asciiTheme="minorEastAsia" w:hAnsiTheme="minorEastAsia" w:eastAsiaTheme="minorEastAsia" w:cstheme="minorEastAsia"/>
          <w:b w:val="0"/>
          <w:i w:val="0"/>
          <w:caps w:val="0"/>
          <w:color w:val="auto"/>
          <w:spacing w:val="0"/>
          <w:sz w:val="30"/>
          <w:szCs w:val="30"/>
          <w:shd w:val="clear" w:fill="FFFFFF"/>
        </w:rPr>
        <w:t>发卡机构应在信用卡协议中以显著方式提示信用卡利率标准和计结息方式、免息还款期和最低还款额待遇的条件和标准，以及向持卡人收取违约金的详细情形和收取标准等与持卡人有重大利害关系的事项，确保持卡人充分知悉并确认接受。其中，对于信用卡利率标准，应注明日利率和年利率。</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（三）发卡机构调整信用卡利率标准的，应至少提前45个自然日按照约定方式通知持卡人。持卡人有权在新利率标准生效之日前选择销户，并按照已签订的协议偿还相关款项。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shd w:val="clear" w:fill="FFFFFF"/>
        </w:rPr>
      </w:pPr>
      <w:r>
        <w:rPr>
          <w:rFonts w:hint="eastAsia" w:asciiTheme="minorEastAsia" w:hAnsiTheme="minorEastAsia" w:eastAsiaTheme="minorEastAsia" w:cstheme="minorEastAsia"/>
          <w:b w:val="0"/>
          <w:i w:val="0"/>
          <w:caps w:val="0"/>
          <w:color w:val="auto"/>
          <w:spacing w:val="0"/>
          <w:sz w:val="30"/>
          <w:szCs w:val="30"/>
          <w:shd w:val="clear" w:fill="FFFFFF"/>
        </w:rPr>
        <w:t>七、非本人授权交易的处理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持卡人提出伪卡交易和账户盗用等非本人授权交易时，发卡机构应及时引导持卡人留存证据，按照相关规则进行差错争议处理，并定期向持卡人反馈处理进度。鼓励发卡机构通过商业保险合作和计提风险补偿基金等方式，依法对持卡人损失予以合理补偿，切实保障持卡人合法权益。</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shd w:val="clear" w:fill="FFFFFF"/>
        </w:rPr>
      </w:pPr>
      <w:r>
        <w:rPr>
          <w:rFonts w:hint="eastAsia" w:asciiTheme="minorEastAsia" w:hAnsiTheme="minorEastAsia" w:eastAsiaTheme="minorEastAsia" w:cstheme="minorEastAsia"/>
          <w:b w:val="0"/>
          <w:i w:val="0"/>
          <w:caps w:val="0"/>
          <w:color w:val="auto"/>
          <w:spacing w:val="0"/>
          <w:sz w:val="30"/>
          <w:szCs w:val="30"/>
          <w:shd w:val="clear" w:fill="FFFFFF"/>
        </w:rPr>
        <w:t>利率信息报送</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发卡机构调整信用卡透支利率、免息还款期、最低还款额等相关标准的，应提前60天向人民银行报告。信用卡利率纳入人民银行利率监测报备系统按月进行填报（详见附件），应于每月9日前完成对上月数据的报送工作，起始报送时间为2017年2月9日前，填报2017年1月相关信用卡利率信息。其中，全国性银行报送人民银行总行；其他银行业金融机构按属地化管理原则，报送法人所在地人民银行分支机构。</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shd w:val="clear" w:fill="FFFFFF"/>
        </w:rPr>
      </w:pPr>
      <w:r>
        <w:rPr>
          <w:rFonts w:hint="eastAsia" w:asciiTheme="minorEastAsia" w:hAnsiTheme="minorEastAsia" w:eastAsiaTheme="minorEastAsia" w:cstheme="minorEastAsia"/>
          <w:b w:val="0"/>
          <w:i w:val="0"/>
          <w:caps w:val="0"/>
          <w:color w:val="auto"/>
          <w:spacing w:val="0"/>
          <w:sz w:val="30"/>
          <w:szCs w:val="30"/>
          <w:shd w:val="clear" w:fill="FFFFFF"/>
        </w:rPr>
        <w:t>信用卡业务自律管理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shd w:val="clear" w:fill="FFFFFF"/>
        </w:rPr>
      </w:pPr>
      <w:r>
        <w:rPr>
          <w:rFonts w:hint="eastAsia" w:asciiTheme="minorEastAsia" w:hAnsiTheme="minorEastAsia" w:eastAsiaTheme="minorEastAsia" w:cstheme="minorEastAsia"/>
          <w:b w:val="0"/>
          <w:i w:val="0"/>
          <w:caps w:val="0"/>
          <w:color w:val="auto"/>
          <w:spacing w:val="0"/>
          <w:sz w:val="30"/>
          <w:szCs w:val="30"/>
          <w:shd w:val="clear" w:fill="FFFFFF"/>
        </w:rPr>
        <w:t>充分发挥市场利率定价自律机制作用，对信用卡利率确定和计息规则等实施自律管理，维护市场正当竞争秩序。</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中国支付清算协会应按照信用卡业务相关监管制度要求和本通知规定，建立健全信用卡发卡流程、使用管理和客户服务等自律机制，制定信用卡协议与章程推荐范本，保障持卡人合法权益，促进信用卡市场有序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leftChars="0" w:right="0" w:rightChars="0" w:firstLine="600" w:firstLineChars="200"/>
        <w:jc w:val="both"/>
        <w:textAlignment w:val="auto"/>
        <w:outlineLvl w:val="9"/>
        <w:rPr>
          <w:rFonts w:hint="eastAsia" w:asciiTheme="minorEastAsia" w:hAnsiTheme="minorEastAsia" w:eastAsiaTheme="minorEastAsia" w:cstheme="minorEastAsia"/>
          <w:b w:val="0"/>
          <w:i w:val="0"/>
          <w:caps w:val="0"/>
          <w:color w:val="auto"/>
          <w:spacing w:val="0"/>
          <w:sz w:val="30"/>
          <w:szCs w:val="30"/>
        </w:rPr>
      </w:pPr>
      <w:r>
        <w:rPr>
          <w:rFonts w:hint="eastAsia" w:asciiTheme="minorEastAsia" w:hAnsiTheme="minorEastAsia" w:eastAsiaTheme="minorEastAsia" w:cstheme="minorEastAsia"/>
          <w:b w:val="0"/>
          <w:i w:val="0"/>
          <w:caps w:val="0"/>
          <w:color w:val="auto"/>
          <w:spacing w:val="0"/>
          <w:sz w:val="30"/>
          <w:szCs w:val="30"/>
          <w:shd w:val="clear" w:fill="FFFFFF"/>
        </w:rPr>
        <w:t>本通知自2017年1月1日起实施。此前人民银行发布的银行卡业务有关规定与本通知不一致的，以本通知为准。</w:t>
      </w:r>
      <w:r>
        <w:rPr>
          <w:rFonts w:hint="eastAsia" w:asciiTheme="minorEastAsia" w:hAnsiTheme="minorEastAsia" w:eastAsiaTheme="minorEastAsia" w:cstheme="minorEastAsia"/>
          <w:b w:val="0"/>
          <w:i w:val="0"/>
          <w:caps w:val="0"/>
          <w:color w:val="auto"/>
          <w:spacing w:val="0"/>
          <w:sz w:val="30"/>
          <w:szCs w:val="30"/>
          <w:shd w:val="clear" w:fill="FFFFFF"/>
        </w:rPr>
        <w:br w:type="textWrapping"/>
      </w:r>
      <w:r>
        <w:rPr>
          <w:rFonts w:hint="eastAsia" w:asciiTheme="minorEastAsia" w:hAnsiTheme="minorEastAsia" w:eastAsiaTheme="minorEastAsia" w:cstheme="minorEastAsia"/>
          <w:b w:val="0"/>
          <w:i w:val="0"/>
          <w:caps w:val="0"/>
          <w:color w:val="auto"/>
          <w:spacing w:val="0"/>
          <w:sz w:val="30"/>
          <w:szCs w:val="30"/>
          <w:shd w:val="clear" w:fill="FFFFFF"/>
        </w:rPr>
        <w:t>请人民银行分支机构将本通知转发至辖区内城市商业银行、农村商业银行、农村合作银行、农村信用社、村镇银行、外资银行和非银行支付机构。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45" w:lineRule="atLeast"/>
        <w:ind w:left="0" w:right="0" w:firstLine="600" w:firstLineChars="200"/>
        <w:jc w:val="both"/>
        <w:textAlignment w:val="auto"/>
        <w:rPr>
          <w:rFonts w:hint="default" w:asciiTheme="minorEastAsia" w:hAnsiTheme="minorEastAsia" w:eastAsiaTheme="minorEastAsia" w:cstheme="minorEastAsia"/>
          <w:color w:val="auto"/>
          <w:sz w:val="30"/>
          <w:szCs w:val="30"/>
          <w:lang w:val="en-US" w:eastAsia="zh-CN"/>
        </w:rPr>
      </w:pPr>
      <w:r>
        <w:rPr>
          <w:rFonts w:hint="eastAsia" w:asciiTheme="minorEastAsia" w:hAnsiTheme="minorEastAsia" w:eastAsiaTheme="minorEastAsia" w:cstheme="minorEastAsia"/>
          <w:b w:val="0"/>
          <w:i w:val="0"/>
          <w:caps w:val="0"/>
          <w:color w:val="auto"/>
          <w:spacing w:val="0"/>
          <w:sz w:val="30"/>
          <w:szCs w:val="30"/>
          <w:shd w:val="clear" w:fill="FFFFFF"/>
        </w:rPr>
        <w:t>附件</w:t>
      </w:r>
      <w:r>
        <w:rPr>
          <w:rFonts w:hint="eastAsia" w:asciiTheme="minorEastAsia" w:hAnsiTheme="minorEastAsia" w:cstheme="minorEastAsia"/>
          <w:b w:val="0"/>
          <w:i w:val="0"/>
          <w:caps w:val="0"/>
          <w:color w:val="auto"/>
          <w:spacing w:val="0"/>
          <w:sz w:val="30"/>
          <w:szCs w:val="30"/>
          <w:shd w:val="clear" w:fill="FFFFFF"/>
          <w:lang w:eastAsia="zh-CN"/>
        </w:rPr>
        <w:t>：</w:t>
      </w:r>
      <w:r>
        <w:rPr>
          <w:rFonts w:hint="eastAsia" w:asciiTheme="minorEastAsia" w:hAnsiTheme="minorEastAsia" w:eastAsiaTheme="minorEastAsia" w:cstheme="minorEastAsia"/>
          <w:b w:val="0"/>
          <w:i w:val="0"/>
          <w:caps w:val="0"/>
          <w:color w:val="auto"/>
          <w:spacing w:val="0"/>
          <w:sz w:val="30"/>
          <w:szCs w:val="30"/>
          <w:shd w:val="clear" w:fill="FFFFFF"/>
        </w:rPr>
        <w:t>1.</w:t>
      </w:r>
      <w:r>
        <w:rPr>
          <w:rFonts w:hint="eastAsia" w:asciiTheme="minorEastAsia" w:hAnsiTheme="minorEastAsia" w:eastAsiaTheme="minorEastAsia" w:cstheme="minorEastAsia"/>
          <w:b w:val="0"/>
          <w:i w:val="0"/>
          <w:caps w:val="0"/>
          <w:color w:val="auto"/>
          <w:spacing w:val="0"/>
          <w:sz w:val="30"/>
          <w:szCs w:val="30"/>
          <w:u w:val="none"/>
          <w:shd w:val="clear" w:fill="FFFFFF"/>
        </w:rPr>
        <w:fldChar w:fldCharType="begin"/>
      </w:r>
      <w:r>
        <w:rPr>
          <w:rFonts w:hint="eastAsia" w:asciiTheme="minorEastAsia" w:hAnsiTheme="minorEastAsia" w:eastAsiaTheme="minorEastAsia" w:cstheme="minorEastAsia"/>
          <w:b w:val="0"/>
          <w:i w:val="0"/>
          <w:caps w:val="0"/>
          <w:color w:val="auto"/>
          <w:spacing w:val="0"/>
          <w:sz w:val="30"/>
          <w:szCs w:val="30"/>
          <w:u w:val="none"/>
          <w:shd w:val="clear" w:fill="FFFFFF"/>
        </w:rPr>
        <w:instrText xml:space="preserve"> HYPERLINK "http://www.jspcsa.com/uploadfile/2016/0418/20160418031608883.doc" </w:instrText>
      </w:r>
      <w:r>
        <w:rPr>
          <w:rFonts w:hint="eastAsia" w:asciiTheme="minorEastAsia" w:hAnsiTheme="minorEastAsia" w:eastAsiaTheme="minorEastAsia" w:cstheme="minorEastAsia"/>
          <w:b w:val="0"/>
          <w:i w:val="0"/>
          <w:caps w:val="0"/>
          <w:color w:val="auto"/>
          <w:spacing w:val="0"/>
          <w:sz w:val="30"/>
          <w:szCs w:val="30"/>
          <w:u w:val="none"/>
          <w:shd w:val="clear" w:fill="FFFFFF"/>
        </w:rPr>
        <w:fldChar w:fldCharType="separate"/>
      </w:r>
      <w:r>
        <w:rPr>
          <w:rStyle w:val="6"/>
          <w:rFonts w:hint="eastAsia" w:asciiTheme="minorEastAsia" w:hAnsiTheme="minorEastAsia" w:eastAsiaTheme="minorEastAsia" w:cstheme="minorEastAsia"/>
          <w:b w:val="0"/>
          <w:i w:val="0"/>
          <w:caps w:val="0"/>
          <w:color w:val="auto"/>
          <w:spacing w:val="0"/>
          <w:sz w:val="30"/>
          <w:szCs w:val="30"/>
          <w:u w:val="none"/>
          <w:shd w:val="clear" w:fill="FFFFFF"/>
        </w:rPr>
        <w:t>信用卡透支利率分类统计表</w:t>
      </w:r>
      <w:r>
        <w:rPr>
          <w:rFonts w:hint="eastAsia" w:asciiTheme="minorEastAsia" w:hAnsiTheme="minorEastAsia" w:eastAsiaTheme="minorEastAsia" w:cstheme="minorEastAsia"/>
          <w:b w:val="0"/>
          <w:i w:val="0"/>
          <w:caps w:val="0"/>
          <w:color w:val="auto"/>
          <w:spacing w:val="0"/>
          <w:sz w:val="30"/>
          <w:szCs w:val="30"/>
          <w:u w:val="none"/>
          <w:shd w:val="clear" w:fill="FFFFFF"/>
        </w:rPr>
        <w:fldChar w:fldCharType="end"/>
      </w:r>
      <w:r>
        <w:rPr>
          <w:rFonts w:hint="eastAsia" w:asciiTheme="minorEastAsia" w:hAnsiTheme="minorEastAsia" w:eastAsiaTheme="minorEastAsia" w:cstheme="minorEastAsia"/>
          <w:b w:val="0"/>
          <w:i w:val="0"/>
          <w:caps w:val="0"/>
          <w:color w:val="auto"/>
          <w:spacing w:val="0"/>
          <w:sz w:val="30"/>
          <w:szCs w:val="30"/>
          <w:shd w:val="clear" w:fill="FFFFFF"/>
        </w:rPr>
        <w:br w:type="textWrapping"/>
      </w:r>
      <w:r>
        <w:rPr>
          <w:rFonts w:hint="eastAsia" w:asciiTheme="minorEastAsia" w:hAnsiTheme="minorEastAsia" w:cstheme="minorEastAsia"/>
          <w:b w:val="0"/>
          <w:i w:val="0"/>
          <w:caps w:val="0"/>
          <w:color w:val="auto"/>
          <w:spacing w:val="0"/>
          <w:sz w:val="30"/>
          <w:szCs w:val="30"/>
          <w:shd w:val="clear" w:fill="FFFFFF"/>
          <w:lang w:val="en-US" w:eastAsia="zh-CN"/>
        </w:rPr>
        <w:t xml:space="preserve">          </w:t>
      </w:r>
      <w:r>
        <w:rPr>
          <w:rFonts w:hint="eastAsia" w:asciiTheme="minorEastAsia" w:hAnsiTheme="minorEastAsia" w:eastAsiaTheme="minorEastAsia" w:cstheme="minorEastAsia"/>
          <w:b w:val="0"/>
          <w:i w:val="0"/>
          <w:caps w:val="0"/>
          <w:color w:val="auto"/>
          <w:spacing w:val="0"/>
          <w:sz w:val="30"/>
          <w:szCs w:val="30"/>
          <w:shd w:val="clear" w:fill="FFFFFF"/>
        </w:rPr>
        <w:t>2.</w:t>
      </w:r>
      <w:r>
        <w:rPr>
          <w:rFonts w:hint="eastAsia" w:asciiTheme="minorEastAsia" w:hAnsiTheme="minorEastAsia" w:eastAsiaTheme="minorEastAsia" w:cstheme="minorEastAsia"/>
          <w:b w:val="0"/>
          <w:i w:val="0"/>
          <w:caps w:val="0"/>
          <w:color w:val="auto"/>
          <w:spacing w:val="0"/>
          <w:sz w:val="30"/>
          <w:szCs w:val="30"/>
          <w:u w:val="none"/>
          <w:shd w:val="clear" w:fill="FFFFFF"/>
        </w:rPr>
        <w:fldChar w:fldCharType="begin"/>
      </w:r>
      <w:r>
        <w:rPr>
          <w:rFonts w:hint="eastAsia" w:asciiTheme="minorEastAsia" w:hAnsiTheme="minorEastAsia" w:eastAsiaTheme="minorEastAsia" w:cstheme="minorEastAsia"/>
          <w:b w:val="0"/>
          <w:i w:val="0"/>
          <w:caps w:val="0"/>
          <w:color w:val="auto"/>
          <w:spacing w:val="0"/>
          <w:sz w:val="30"/>
          <w:szCs w:val="30"/>
          <w:u w:val="none"/>
          <w:shd w:val="clear" w:fill="FFFFFF"/>
        </w:rPr>
        <w:instrText xml:space="preserve"> HYPERLINK "http://www.jspcsa.com/uploadfile/2016/0418/20160418031612411.doc" </w:instrText>
      </w:r>
      <w:r>
        <w:rPr>
          <w:rFonts w:hint="eastAsia" w:asciiTheme="minorEastAsia" w:hAnsiTheme="minorEastAsia" w:eastAsiaTheme="minorEastAsia" w:cstheme="minorEastAsia"/>
          <w:b w:val="0"/>
          <w:i w:val="0"/>
          <w:caps w:val="0"/>
          <w:color w:val="auto"/>
          <w:spacing w:val="0"/>
          <w:sz w:val="30"/>
          <w:szCs w:val="30"/>
          <w:u w:val="none"/>
          <w:shd w:val="clear" w:fill="FFFFFF"/>
        </w:rPr>
        <w:fldChar w:fldCharType="separate"/>
      </w:r>
      <w:r>
        <w:rPr>
          <w:rStyle w:val="6"/>
          <w:rFonts w:hint="eastAsia" w:asciiTheme="minorEastAsia" w:hAnsiTheme="minorEastAsia" w:eastAsiaTheme="minorEastAsia" w:cstheme="minorEastAsia"/>
          <w:b w:val="0"/>
          <w:i w:val="0"/>
          <w:caps w:val="0"/>
          <w:color w:val="auto"/>
          <w:spacing w:val="0"/>
          <w:sz w:val="30"/>
          <w:szCs w:val="30"/>
          <w:u w:val="none"/>
          <w:shd w:val="clear" w:fill="FFFFFF"/>
        </w:rPr>
        <w:t>信用卡透支利率区间分布表</w:t>
      </w:r>
      <w:r>
        <w:rPr>
          <w:rFonts w:hint="eastAsia" w:asciiTheme="minorEastAsia" w:hAnsiTheme="minorEastAsia" w:eastAsiaTheme="minorEastAsia" w:cstheme="minorEastAsia"/>
          <w:b w:val="0"/>
          <w:i w:val="0"/>
          <w:caps w:val="0"/>
          <w:color w:val="auto"/>
          <w:spacing w:val="0"/>
          <w:sz w:val="30"/>
          <w:szCs w:val="30"/>
          <w:u w:val="none"/>
          <w:shd w:val="clear" w:fill="FFFFFF"/>
        </w:rPr>
        <w:fldChar w:fldCharType="end"/>
      </w:r>
      <w:r>
        <w:rPr>
          <w:rFonts w:hint="eastAsia" w:asciiTheme="minorEastAsia" w:hAnsiTheme="minorEastAsia" w:eastAsiaTheme="minorEastAsia" w:cstheme="minorEastAsia"/>
          <w:b w:val="0"/>
          <w:i w:val="0"/>
          <w:caps w:val="0"/>
          <w:color w:val="auto"/>
          <w:spacing w:val="0"/>
          <w:sz w:val="30"/>
          <w:szCs w:val="30"/>
          <w:shd w:val="clear" w:fill="FFFFFF"/>
        </w:rPr>
        <w:br w:type="textWrapp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155DA8"/>
    <w:multiLevelType w:val="singleLevel"/>
    <w:tmpl w:val="59155DA8"/>
    <w:lvl w:ilvl="0" w:tentative="0">
      <w:start w:val="1"/>
      <w:numFmt w:val="chineseCounting"/>
      <w:suff w:val="nothing"/>
      <w:lvlText w:val="%1、"/>
      <w:lvlJc w:val="left"/>
    </w:lvl>
  </w:abstractNum>
  <w:abstractNum w:abstractNumId="1">
    <w:nsid w:val="59155E59"/>
    <w:multiLevelType w:val="singleLevel"/>
    <w:tmpl w:val="59155E59"/>
    <w:lvl w:ilvl="0" w:tentative="0">
      <w:start w:val="1"/>
      <w:numFmt w:val="chineseCounting"/>
      <w:suff w:val="nothing"/>
      <w:lvlText w:val="（%1）"/>
      <w:lvlJc w:val="left"/>
    </w:lvl>
  </w:abstractNum>
  <w:abstractNum w:abstractNumId="2">
    <w:nsid w:val="59155E7C"/>
    <w:multiLevelType w:val="singleLevel"/>
    <w:tmpl w:val="59155E7C"/>
    <w:lvl w:ilvl="0" w:tentative="0">
      <w:start w:val="8"/>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3C7603"/>
    <w:rsid w:val="263C7603"/>
    <w:rsid w:val="3665665A"/>
    <w:rsid w:val="6BDB7F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2017-04-05T03:18:00Z</dcterms:created>
  <dc:creator>Administrator</dc:creator>
  <cp:lastModifiedBy>lenovo</cp:lastModifiedBy>
  <dcterms:modified xsi:type="dcterms:W3CDTF">2019-07-02T08:47:23Z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