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sz w:val="40"/>
          <w:szCs w:val="40"/>
        </w:rPr>
      </w:pPr>
      <w:r>
        <w:rPr>
          <w:rFonts w:hint="eastAsia" w:ascii="黑体" w:hAnsi="黑体" w:eastAsia="黑体" w:cs="黑体"/>
          <w:sz w:val="40"/>
          <w:szCs w:val="40"/>
        </w:rPr>
        <w:t>中国人民银行关于进一步规范</w:t>
      </w:r>
    </w:p>
    <w:p>
      <w:pPr>
        <w:spacing w:line="360" w:lineRule="auto"/>
        <w:jc w:val="center"/>
        <w:rPr>
          <w:rFonts w:hint="eastAsia" w:ascii="黑体" w:hAnsi="黑体" w:eastAsia="黑体" w:cs="黑体"/>
          <w:sz w:val="40"/>
          <w:szCs w:val="40"/>
        </w:rPr>
      </w:pPr>
      <w:r>
        <w:rPr>
          <w:rFonts w:hint="eastAsia" w:ascii="黑体" w:hAnsi="黑体" w:eastAsia="黑体" w:cs="黑体"/>
          <w:sz w:val="40"/>
          <w:szCs w:val="40"/>
        </w:rPr>
        <w:t>空头支票行政处罚工作有关事项的通知</w:t>
      </w:r>
    </w:p>
    <w:p>
      <w:pPr>
        <w:spacing w:line="360" w:lineRule="auto"/>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银发〔2016〕319号</w:t>
      </w:r>
    </w:p>
    <w:p>
      <w:pPr>
        <w:spacing w:line="360" w:lineRule="auto"/>
        <w:jc w:val="center"/>
        <w:rPr>
          <w:rFonts w:hint="eastAsia" w:asciiTheme="minorEastAsia" w:hAnsiTheme="minorEastAsia" w:eastAsiaTheme="minorEastAsia" w:cstheme="minorEastAsia"/>
          <w:sz w:val="30"/>
          <w:szCs w:val="30"/>
        </w:rPr>
      </w:pPr>
    </w:p>
    <w:p>
      <w:pPr>
        <w:spacing w:line="360" w:lineRule="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中国人民银行上海总部,各分行、营业管理部,各省会（首府）城市中心支行,深圳市中心支行：</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为完善空头支票行政处罚裁量权基准，推进裁量权基准的适用，减少因实施行政处罚引发的行政争议，现就进一步规范空头支票（含与银行预留签章不符的支票，下同）行政处罚行为有关事项通知如下：</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严格执法，规范行使裁量权人民银行各分支机构应提高对空头支票行政处罚工作重要性的认识，组织相关业务培训，准确解读有关法律法规制度，不断提高执法人员正确运用行政处罚裁量权和规范实施行政处罚的水平。各分支机构应严格审查、准确区分“减轻行政处罚”、“不予行政处罚”及“不得给予行政处罚”的适用情形和标准，不得滥用裁量权减免行政处罚。各分支机构法律事务部门对拟作出的行政处罚意见及相关材料进行复核时，应当对是否存在不当行使裁量权的行为进行重点审查。</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二、细化标准，完善裁量权基准制度</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进一步细化《关于对违法签发支票行为行政处罚若干问题的实施意见（试行）》（银发〔2010〕88号文印发，以下简称《实施意见》）的相关标准，完善裁量权基准：</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（一）明确签发空头支票违法次数、顺序的认定。按空头支票退票时间的先后顺序依次计算签发空头支票违法次数的顺序。</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各分支机构在发出《行政处罚告知书》前，应对出票人同一出票日签发多张空头支票的行为进行查询，对存在同一出票日签发多张空头支票情形的，应合并认定为一次违法行为，票面金额按各张支票票面金额的总和计算，违法次序按该日签发的空头支票第一笔退票时间的次序计算。</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（二）实行违法行为定期清零。出票人自发生签发空头支票违法行为的次年1月1日起，1个自然年度未再签发空头支票且—2—不存在未缴清空头支票罚款情形的，再次签发空头支票按首次签发予以认定。</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主动、及时支付票款的认定。《实施意见》中“减轻行政处罚”和“不予行政处罚”情形中的出票人“主动、及时支付票款”是指出票人能够向人民银行提供已向收款人支付票款的相关证据，且经人民银行查实出票人不存在未缴清空头支票罚款情形。</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调整适用不予行政处罚的条件。出票人第一次签发空头支票，在银行退票后出票人能主动、及时支付票款的，且经人民银行查实出票人不存在未缴清空头支票罚款情形的，不予行政处罚，不再要求出票人提供获得收款人谅解的相关证据。</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（五）严格罚款金额的执行标准。各分支机构应按照统一的裁量权基准制度要求，作出行政处罚行为，对于依法应给予行政罚款的，罚款金额应严格按照《实施意见》的规定予以执行，不得擅自减免罚款金额。</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规范执法程序，约束裁量权行使各分支机构应按照《中华人民共和国行政处罚法》、《中国人民银行行政处罚程序规定》（中国人民银行令〔2001〕第３号发布）、《空头支票行政处罚操作流程》（银发〔2005〕114号文印发）、《实施意见》和本通知的要求实施行政处罚。分支机构支付结算部门负责空头支票行政处罚案件的立案、调查，提出处罚意见，法律事务部门负责复核空头支票处罚意见的合法性和适当性，组织听证。各分支机构应当对案件情况进行全面、客观、公正的调查，收集证据，必要时，可要求银行业金融机构协助对客户签发空头支票的行为进行调查取证，并提供违法事实证明材料，客户法律文书送达地址、联系方式等信息。</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各分支机构在向出票人下达《行政处罚告知书》之前，应结合已掌握的材料，调查出票人是否存在《实施意见》和本通知规定的“减轻行政处罚”、“不予行政处罚”及“不得给予行政处罚”的情形。对出票人存在规定的“不予行政处罚”和“不得给予行政处罚”情形的，不再出具《行政处罚告知书》；对出票人存在规定的“减轻行政处罚”情形的，应按照减轻行政处罚的规定出具《行政处罚告知书》。</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各分支机构在作出行政处罚后，应当按照《中华人民共和国行政处罚法》和《中华人民共和国民事诉讼法》的规定，将行政处罚法律文书直接送交受送达人，直接送达法律文书有困难的，可以采取代为送达、邮寄送达、公告送达等方式。</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四、落实责任，完善内部监督机制</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人民银行上海总部，各分行、营业管理部，省会（首府）城市中心支行，深圳市中心支行应当按照《实施意见》和本通知要求，结合本地实际，制定规范行使空头支票行政处罚裁量权的实施细则，并向总行报备。各分支机构要建立健全行政执法责任制，按照“谁执法、谁负责”的原则，强化对行政处罚裁量权约束工作的监督，并抓好责任落实，严肃责任追究；要加强监督检查和督促落实，研究建立空头支票行政处罚案卷管理制度，由法律事务、内部审计等部门定期组织行政处罚案卷评查，并适时开展行政处罚裁量权专项检查，以减少行政处罚的不确定性，避免同案不同罚现象。</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五、强化惩戒机制，督促行政处罚落实执行</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各分支机构应建立签发空头支票“黑名单”制度，将有关违法信息定期向同一票据交换区域内的银行业金融机构进行通报，并对屡次签发空头支票或拒不执行空头支票行政处罚的单位和个人进行重点通报。鼓励和支持银行业金融机构通过建立和实行支票限售和禁售机制，以进一步强化对屡次签发空头支票或拒不执行空头支票行政处罚的单位和个人的惩戒力度。</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人民银行上海总部，各分行、营业管理部，省会（首府）城市中心支行，深圳市中心支行可探索降低空头支票行政处罚数量、提高行政处罚效率的方式方法；可探索将空头支票违法相关信息纳入金融信用信息基础数据库，通过健全信用惩戒机制，减少因空头支票造成的失信行为和行政处罚。</w:t>
      </w:r>
    </w:p>
    <w:p>
      <w:pPr>
        <w:spacing w:line="360" w:lineRule="auto"/>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本通知自2017年1月1日起施行。执行过程中如遇重要情况和问题，请及时报告总行。</w:t>
      </w:r>
    </w:p>
    <w:p>
      <w:pPr>
        <w:spacing w:line="360" w:lineRule="auto"/>
        <w:ind w:firstLine="600" w:firstLineChars="200"/>
        <w:rPr>
          <w:rFonts w:hint="eastAsia" w:asciiTheme="minorEastAsia" w:hAnsiTheme="minorEastAsia" w:eastAsiaTheme="minorEastAsia" w:cstheme="minorEastAsia"/>
          <w:sz w:val="30"/>
          <w:szCs w:val="30"/>
        </w:rPr>
      </w:pPr>
      <w:bookmarkStart w:id="0" w:name="_GoBack"/>
      <w:bookmarkEnd w:id="0"/>
    </w:p>
    <w:p>
      <w:pPr>
        <w:spacing w:line="360" w:lineRule="auto"/>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w:t>
      </w:r>
    </w:p>
    <w:p>
      <w:pPr>
        <w:spacing w:line="360" w:lineRule="auto"/>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2016年12月26日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E2309"/>
    <w:rsid w:val="001E2309"/>
    <w:rsid w:val="009108E4"/>
    <w:rsid w:val="00CA7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352</Words>
  <Characters>2012</Characters>
  <Lines>16</Lines>
  <Paragraphs>4</Paragraphs>
  <TotalTime>0</TotalTime>
  <ScaleCrop>false</ScaleCrop>
  <LinksUpToDate>false</LinksUpToDate>
  <CharactersWithSpaces>2360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2019-06-27T06:58:00Z</dcterms:created>
  <dc:creator>le</dc:creator>
  <cp:lastModifiedBy>lenovo</cp:lastModifiedBy>
  <dcterms:modified xsi:type="dcterms:W3CDTF">2019-07-02T08:49:18Z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