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国家外汇管理局关于印发《跨国公司跨境资金集中运营管理规定》的通知</w:t>
      </w:r>
    </w:p>
    <w:p>
      <w:pPr>
        <w:jc w:val="center"/>
        <w:rPr>
          <w:rFonts w:hint="eastAsia"/>
          <w:b/>
          <w:bCs/>
          <w:color w:val="FF0000"/>
          <w:sz w:val="30"/>
          <w:szCs w:val="30"/>
          <w:lang w:eastAsia="zh-CN"/>
        </w:rPr>
      </w:pPr>
      <w:r>
        <w:rPr>
          <w:rFonts w:hint="eastAsia"/>
          <w:b/>
          <w:bCs/>
          <w:color w:val="FF0000"/>
          <w:sz w:val="30"/>
          <w:szCs w:val="30"/>
          <w:lang w:eastAsia="zh-CN"/>
        </w:rPr>
        <w:t>（只出红字部分）</w:t>
      </w:r>
    </w:p>
    <w:p>
      <w:pPr>
        <w:jc w:val="center"/>
        <w:rPr>
          <w:rFonts w:hint="eastAsia"/>
          <w:sz w:val="30"/>
          <w:szCs w:val="30"/>
        </w:rPr>
      </w:pPr>
      <w:r>
        <w:rPr>
          <w:rFonts w:hint="eastAsia"/>
          <w:sz w:val="30"/>
          <w:szCs w:val="30"/>
        </w:rPr>
        <w:t>汇发〔2019〕7号</w:t>
      </w:r>
    </w:p>
    <w:p>
      <w:pPr>
        <w:widowControl/>
        <w:spacing w:line="360" w:lineRule="atLeast"/>
        <w:jc w:val="left"/>
        <w:rPr>
          <w:rFonts w:hint="eastAsia" w:ascii="宋体" w:hAnsi="宋体" w:eastAsia="宋体" w:cs="宋体"/>
          <w:color w:val="000000"/>
          <w:kern w:val="0"/>
          <w:sz w:val="30"/>
          <w:szCs w:val="30"/>
        </w:rPr>
      </w:pPr>
    </w:p>
    <w:p>
      <w:pPr>
        <w:widowControl/>
        <w:spacing w:line="360" w:lineRule="atLeast"/>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国家外汇管理局各省、自治区、直辖市分局、外汇管理部，深圳、大连、青岛、厦门、宁波市分局；各全国性中资银行：</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为进一步促进贸易投资便利化，服务实体经济，国家外汇管理局对《跨国公司外汇资金集中运营管理规定》（汇发〔2015〕36号，以下简称36号文）进行了修订。现就有关事项通知如下：</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一、实施外债和境外放款宏观审慎管理。</w:t>
      </w:r>
      <w:r>
        <w:rPr>
          <w:rFonts w:hint="eastAsia" w:ascii="宋体" w:hAnsi="宋体" w:eastAsia="宋体" w:cs="宋体"/>
          <w:color w:val="000000"/>
          <w:kern w:val="0"/>
          <w:sz w:val="30"/>
          <w:szCs w:val="30"/>
        </w:rPr>
        <w:t>跨国公司可根据宏观审慎原则，集中境内成员企业外债额度和（或）境外放款额度，并在集中额度的规模内遵循商业惯例自行开展借用外债业务和（或）境外放款业务。</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二、大幅简化外债和境外放款登记。</w:t>
      </w:r>
      <w:r>
        <w:rPr>
          <w:rFonts w:hint="eastAsia" w:ascii="宋体" w:hAnsi="宋体" w:eastAsia="宋体" w:cs="宋体"/>
          <w:color w:val="000000"/>
          <w:kern w:val="0"/>
          <w:sz w:val="30"/>
          <w:szCs w:val="30"/>
        </w:rPr>
        <w:t>主办企业所在地国家外汇管理局分支局（以下简称所在地外汇局）向主办企业出具备案通知书时，根据经备案集中的额度为其办理一次性外债登记和（或）境外放款登记，主办企业无需分币种、分债权人（或债务人）逐笔办理外债（或境外放款）登记；银行和企业无需报送36号文规定的3张手工报表。</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三、实行资本项目外汇收入结汇支付便利化。</w:t>
      </w:r>
      <w:r>
        <w:rPr>
          <w:rFonts w:hint="eastAsia" w:ascii="宋体" w:hAnsi="宋体" w:eastAsia="宋体" w:cs="宋体"/>
          <w:color w:val="000000"/>
          <w:kern w:val="0"/>
          <w:sz w:val="30"/>
          <w:szCs w:val="30"/>
        </w:rPr>
        <w:t>跨国公司主办企业在办理国内资金主账户内资本项目外汇收入支付使用时，无需事前向合作银行逐笔提供真实性证明材料；合作银行应按照展业原则进行真实合规性审核。</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四、完善准入退出机制。</w:t>
      </w:r>
      <w:r>
        <w:rPr>
          <w:rFonts w:hint="eastAsia" w:ascii="宋体" w:hAnsi="宋体" w:eastAsia="宋体" w:cs="宋体"/>
          <w:color w:val="000000"/>
          <w:kern w:val="0"/>
          <w:sz w:val="30"/>
          <w:szCs w:val="30"/>
        </w:rPr>
        <w:t>主办企业应在取得跨国公司备案通知书后一年内开立国内资金主账户，并实际办理跨境资金集中运营相关业务，否则备案通知书自颁发满一年之日起失效。跨国公司可在经外汇局备案后，停止办理跨国公司跨境资金集中运营业务。</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五、调整优化账户功能。</w:t>
      </w:r>
      <w:r>
        <w:rPr>
          <w:rFonts w:hint="eastAsia" w:ascii="宋体" w:hAnsi="宋体" w:eastAsia="宋体" w:cs="宋体"/>
          <w:color w:val="000000"/>
          <w:kern w:val="0"/>
          <w:sz w:val="30"/>
          <w:szCs w:val="30"/>
        </w:rPr>
        <w:t>跨国公司以主办企业国内资金主账户为主办理跨境资金集中运营各项业务；确有需要的，可以选择一家境外成员企业开立NRA账户集中运营管理境外成员企业资金。国内资金主账户币种不设限制，为多币种（含人民币）账户，开户数量不予限制。</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本通知下发前开立的代码为“3600”的国际资金主账户内的资金，应于本通知下发后六个月内，按照资金性质将账户内资金划转至国内资金主账户或者按照本通知规定开立的NRA账户，并将划转情况报所在地外汇局备案。</w:t>
      </w:r>
    </w:p>
    <w:p>
      <w:pPr>
        <w:widowControl/>
        <w:spacing w:line="360" w:lineRule="atLeast"/>
        <w:ind w:firstLine="422"/>
        <w:jc w:val="left"/>
        <w:rPr>
          <w:rFonts w:ascii="宋体" w:hAnsi="宋体" w:eastAsia="宋体" w:cs="宋体"/>
          <w:color w:val="333333"/>
          <w:kern w:val="0"/>
          <w:sz w:val="30"/>
          <w:szCs w:val="30"/>
        </w:rPr>
      </w:pPr>
      <w:r>
        <w:rPr>
          <w:rFonts w:hint="eastAsia" w:ascii="宋体" w:hAnsi="宋体" w:eastAsia="宋体" w:cs="宋体"/>
          <w:b/>
          <w:bCs/>
          <w:color w:val="000000"/>
          <w:kern w:val="0"/>
          <w:sz w:val="30"/>
          <w:szCs w:val="30"/>
        </w:rPr>
        <w:t>六、加强事中事后监管。</w:t>
      </w:r>
      <w:r>
        <w:rPr>
          <w:rFonts w:hint="eastAsia" w:ascii="宋体" w:hAnsi="宋体" w:eastAsia="宋体" w:cs="宋体"/>
          <w:color w:val="000000"/>
          <w:kern w:val="0"/>
          <w:sz w:val="30"/>
          <w:szCs w:val="30"/>
        </w:rPr>
        <w:t>所在地外汇局应定期或不定期进行风险评估，强化非现场监测与现场核查检查，做好银行、企业风险提示和指导工作。</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现将修订后的《跨国公司跨境资金集中运营管理规定》印发，国家外汇管理局各分局、外汇管理部接到本通知后，应及时转发辖内中心支局、支局、城市商业银行、农村商业银行、外资银行、农村合作银行；各全国性中资银行接到本通知后，应及时转发所辖分支机构。执行中如遇问题，请及时向国家外汇管理局反馈。</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联系电话：</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010-68402250、68402448、68402450</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 </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附件：</w:t>
      </w:r>
      <w:r>
        <w:rPr>
          <w:rFonts w:hint="eastAsia" w:ascii="宋体" w:hAnsi="宋体" w:eastAsia="宋体" w:cs="宋体"/>
          <w:color w:val="auto"/>
          <w:kern w:val="0"/>
          <w:sz w:val="30"/>
          <w:szCs w:val="30"/>
          <w:u w:val="none"/>
        </w:rPr>
        <w:t>跨国公司跨境资金集中运营管理规定</w:t>
      </w:r>
    </w:p>
    <w:p>
      <w:pPr>
        <w:widowControl/>
        <w:spacing w:line="360" w:lineRule="atLeast"/>
        <w:ind w:firstLine="420"/>
        <w:jc w:val="left"/>
        <w:rPr>
          <w:rFonts w:ascii="宋体" w:hAnsi="宋体" w:eastAsia="宋体" w:cs="宋体"/>
          <w:color w:val="333333"/>
          <w:kern w:val="0"/>
          <w:sz w:val="30"/>
          <w:szCs w:val="30"/>
        </w:rPr>
      </w:pPr>
      <w:r>
        <w:rPr>
          <w:rFonts w:hint="eastAsia" w:ascii="宋体" w:hAnsi="宋体" w:eastAsia="宋体" w:cs="宋体"/>
          <w:color w:val="000000"/>
          <w:kern w:val="0"/>
          <w:sz w:val="30"/>
          <w:szCs w:val="30"/>
        </w:rPr>
        <w:t> </w:t>
      </w:r>
    </w:p>
    <w:p>
      <w:pPr>
        <w:widowControl/>
        <w:spacing w:line="360" w:lineRule="atLeast"/>
        <w:ind w:firstLine="420"/>
        <w:jc w:val="right"/>
        <w:rPr>
          <w:rFonts w:ascii="宋体" w:hAnsi="宋体" w:eastAsia="宋体" w:cs="宋体"/>
          <w:color w:val="333333"/>
          <w:kern w:val="0"/>
          <w:sz w:val="30"/>
          <w:szCs w:val="30"/>
        </w:rPr>
      </w:pPr>
      <w:r>
        <w:rPr>
          <w:rFonts w:hint="eastAsia" w:ascii="宋体" w:hAnsi="宋体" w:eastAsia="宋体" w:cs="宋体"/>
          <w:color w:val="000000"/>
          <w:kern w:val="0"/>
          <w:sz w:val="30"/>
          <w:szCs w:val="30"/>
        </w:rPr>
        <w:t>国家外汇管理局</w:t>
      </w:r>
    </w:p>
    <w:p>
      <w:pPr>
        <w:widowControl/>
        <w:spacing w:line="360" w:lineRule="atLeast"/>
        <w:ind w:firstLine="420"/>
        <w:jc w:val="right"/>
        <w:rPr>
          <w:rFonts w:ascii="宋体" w:hAnsi="宋体" w:eastAsia="宋体" w:cs="宋体"/>
          <w:color w:val="333333"/>
          <w:kern w:val="0"/>
          <w:sz w:val="30"/>
          <w:szCs w:val="30"/>
        </w:rPr>
      </w:pPr>
      <w:r>
        <w:rPr>
          <w:rFonts w:hint="eastAsia" w:ascii="宋体" w:hAnsi="宋体" w:eastAsia="宋体" w:cs="宋体"/>
          <w:color w:val="000000"/>
          <w:kern w:val="0"/>
          <w:sz w:val="30"/>
          <w:szCs w:val="30"/>
        </w:rPr>
        <w:t>2019年3月15日</w:t>
      </w:r>
    </w:p>
    <w:p>
      <w:pPr>
        <w:widowControl/>
        <w:jc w:val="left"/>
        <w:rPr>
          <w:rFonts w:asciiTheme="minorEastAsia" w:hAnsiTheme="minorEastAsia"/>
          <w:b/>
          <w:sz w:val="30"/>
          <w:szCs w:val="30"/>
        </w:rPr>
      </w:pPr>
    </w:p>
    <w:p>
      <w:pPr>
        <w:spacing w:line="360" w:lineRule="auto"/>
        <w:jc w:val="left"/>
        <w:rPr>
          <w:rFonts w:hint="eastAsia" w:asciiTheme="minorEastAsia" w:hAnsiTheme="minorEastAsia"/>
          <w:b/>
          <w:sz w:val="30"/>
          <w:szCs w:val="30"/>
        </w:rPr>
      </w:pPr>
    </w:p>
    <w:p>
      <w:pPr>
        <w:spacing w:line="360" w:lineRule="auto"/>
        <w:jc w:val="left"/>
        <w:rPr>
          <w:rFonts w:hint="eastAsia" w:asciiTheme="minorEastAsia" w:hAnsiTheme="minorEastAsia"/>
          <w:b/>
          <w:sz w:val="30"/>
          <w:szCs w:val="30"/>
        </w:rPr>
      </w:pPr>
    </w:p>
    <w:p>
      <w:pPr>
        <w:spacing w:line="360" w:lineRule="auto"/>
        <w:jc w:val="left"/>
        <w:rPr>
          <w:rFonts w:hint="eastAsia" w:ascii="黑体" w:hAnsi="黑体" w:eastAsia="黑体" w:cs="黑体"/>
          <w:b w:val="0"/>
          <w:bCs/>
          <w:sz w:val="30"/>
          <w:szCs w:val="30"/>
        </w:rPr>
      </w:pPr>
      <w:r>
        <w:rPr>
          <w:rFonts w:hint="eastAsia" w:ascii="黑体" w:hAnsi="黑体" w:eastAsia="黑体" w:cs="黑体"/>
          <w:b w:val="0"/>
          <w:bCs/>
          <w:sz w:val="30"/>
          <w:szCs w:val="30"/>
        </w:rPr>
        <w:t>附件</w:t>
      </w:r>
    </w:p>
    <w:p>
      <w:pPr>
        <w:spacing w:line="360" w:lineRule="auto"/>
        <w:jc w:val="left"/>
        <w:rPr>
          <w:rFonts w:hint="eastAsia" w:ascii="黑体" w:hAnsi="黑体" w:eastAsia="黑体" w:cs="黑体"/>
          <w:b w:val="0"/>
          <w:bCs/>
          <w:sz w:val="30"/>
          <w:szCs w:val="30"/>
        </w:rPr>
      </w:pPr>
    </w:p>
    <w:p>
      <w:pPr>
        <w:spacing w:line="360" w:lineRule="auto"/>
        <w:jc w:val="center"/>
        <w:rPr>
          <w:rFonts w:asciiTheme="minorEastAsia" w:hAnsiTheme="minorEastAsia"/>
          <w:b/>
          <w:sz w:val="30"/>
          <w:szCs w:val="30"/>
        </w:rPr>
      </w:pPr>
      <w:r>
        <w:rPr>
          <w:rFonts w:hint="eastAsia" w:ascii="黑体" w:hAnsi="黑体" w:eastAsia="黑体" w:cs="黑体"/>
          <w:b w:val="0"/>
          <w:bCs/>
          <w:sz w:val="40"/>
          <w:szCs w:val="40"/>
        </w:rPr>
        <w:t>跨国公司跨境资金集中运营管理规定</w:t>
      </w:r>
      <w:r>
        <w:rPr>
          <w:rFonts w:hint="eastAsia" w:asciiTheme="minorEastAsia" w:hAnsiTheme="minorEastAsia"/>
          <w:b/>
          <w:sz w:val="30"/>
          <w:szCs w:val="30"/>
        </w:rPr>
        <w:cr/>
      </w:r>
    </w:p>
    <w:p>
      <w:pPr>
        <w:spacing w:line="360" w:lineRule="auto"/>
        <w:jc w:val="center"/>
        <w:rPr>
          <w:rFonts w:asciiTheme="minorEastAsia" w:hAnsiTheme="minorEastAsia"/>
          <w:b/>
          <w:sz w:val="30"/>
          <w:szCs w:val="30"/>
        </w:rPr>
      </w:pPr>
      <w:r>
        <w:rPr>
          <w:rFonts w:hint="eastAsia" w:asciiTheme="minorEastAsia" w:hAnsiTheme="minorEastAsia"/>
          <w:b/>
          <w:sz w:val="30"/>
          <w:szCs w:val="30"/>
        </w:rPr>
        <w:t>第一章 总</w:t>
      </w:r>
      <w:r>
        <w:rPr>
          <w:rFonts w:hint="eastAsia" w:asciiTheme="minorEastAsia" w:hAnsiTheme="minorEastAsia"/>
          <w:b/>
          <w:sz w:val="30"/>
          <w:szCs w:val="30"/>
          <w:lang w:val="en-US" w:eastAsia="zh-CN"/>
        </w:rPr>
        <w:t xml:space="preserve"> </w:t>
      </w:r>
      <w:r>
        <w:rPr>
          <w:rFonts w:hint="eastAsia" w:asciiTheme="minorEastAsia" w:hAnsiTheme="minorEastAsia"/>
          <w:b/>
          <w:sz w:val="30"/>
          <w:szCs w:val="30"/>
        </w:rPr>
        <w:t>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第一条 为促进贸易投资便利化，服务实体经济，便利跨国公司跨境资金集中运营，制定本规定。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第二条 本规定所称跨国公司是以资本联结为纽带，由母公司、子公司及其他成员企业或机构共同组成的联合体。</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主办企业，是指取得跨国公司授权履行主体业务备案、实施、数据报送、情况反馈等职责的具有独立法人资格的一家境内公司。主办企业为财务公司的，其从事跨境资金交易应遵守行业管理部门的规定。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成员企业，是指跨国公司内部相互直接或间接持股的、具有独立法人资格的各家公司，分为境内成员企业和境外成员企业。与主办企业无直接或间接持股关系，但属同一母公司控股的兄弟公司可认定为成员企业。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金融机构（财务公司作为主办企业的除外）、地方政府融资平台和房地产企业不得作为主办企业或成员企业参与跨国公司跨境资金集中运营。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第三条 本规定所称跨境资金集中运营业务，是指集中运营管理境内外资金，办理外债和境外放款额度集中管理、经常项目资金集中收付和轧差净额结算等业务。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第四条 跨国公司可以选择符合条件的境内银行（主办企业所在地省级区域内，下同）作为办理跨境资金集中运营业务的合作银行（以下简称合作银行）。</w:t>
      </w:r>
      <w:r>
        <w:rPr>
          <w:rFonts w:hint="eastAsia" w:asciiTheme="minorEastAsia" w:hAnsiTheme="minorEastAsia"/>
          <w:sz w:val="30"/>
          <w:szCs w:val="30"/>
        </w:rPr>
        <w:cr/>
      </w:r>
    </w:p>
    <w:p>
      <w:pPr>
        <w:spacing w:line="360" w:lineRule="auto"/>
        <w:ind w:firstLine="602" w:firstLineChars="200"/>
        <w:jc w:val="center"/>
        <w:rPr>
          <w:rFonts w:asciiTheme="minorEastAsia" w:hAnsiTheme="minorEastAsia"/>
          <w:b/>
          <w:sz w:val="30"/>
          <w:szCs w:val="30"/>
        </w:rPr>
      </w:pPr>
      <w:r>
        <w:rPr>
          <w:rFonts w:hint="eastAsia" w:asciiTheme="minorEastAsia" w:hAnsiTheme="minorEastAsia"/>
          <w:b/>
          <w:sz w:val="30"/>
          <w:szCs w:val="30"/>
        </w:rPr>
        <w:t>第二章 业务备案及变更</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第五条 满足以下条件的跨国公司，可根据经营需要选择一家境内企业作为主办企业集中运营管理境内外成员企业资金，开展集中外债额度、集中境外放款额度、经常项目资金集中收付和轧差净额结算中的一项或多项业务：</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（一）具备真实业务需求；</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（二）具有完善的跨境资金管理架构、内控制度；</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（三）建立相应的内部管理电子系统；</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（四）上年度本外币国际收支规模超过1亿美元（参加跨境资金集中运营业务的境内成员企业合并计算）；</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（五）近三年无重大外汇违法违规行为（成立不满三年的企业，自成立之日起无重大外汇违规行为）；</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（六）主办企业和境内成员企业如为贸易外汇收支名录内企业，货物贸易分类结果应为A类；</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（七）国家外汇管理局规定的其他审慎监管条件。</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第六条 为跨国公司办理跨境资金集中运营业务的合作银行应满足以下条件：</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（一）具备国际结算能力且具有结售汇业务资格；</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（二）近三年执行外汇管理规定年度考核B（含）类以上；合作银行考核等次下降，不符合上述条件的，仅能办理原有相应业务，不可再办理新业务；</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（三）国家外汇管理局规定的其他审慎监管条件。</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第七条 跨国公司开展跨境资金集中运营业务，应通过主办企业所在地国家外汇管理局分支局（以下简称所在地外汇局）向所属外汇分局、管理部（以下简称分局）备案，提交以下材料：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（一）基本材料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1．备案申请书（包括跨国公司及主办企业基本情况、拟开展的业务种类、成员企业名单、主办企业及成员企业股权结构情况、拟选择的合作银行情况等）；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2．跨国公司对主办企业开展跨境资金集中运营业务的授权书；</w:t>
      </w:r>
    </w:p>
    <w:p>
      <w:pPr>
        <w:spacing w:line="360" w:lineRule="auto"/>
        <w:ind w:firstLine="600" w:firstLineChars="200"/>
        <w:rPr>
          <w:rFonts w:asciiTheme="minorEastAsia" w:hAnsiTheme="minorEastAsia"/>
          <w:sz w:val="30"/>
          <w:szCs w:val="30"/>
        </w:rPr>
      </w:pPr>
      <w:r>
        <w:rPr>
          <w:rFonts w:asciiTheme="minorEastAsia" w:hAnsiTheme="minorEastAsia"/>
          <w:sz w:val="30"/>
          <w:szCs w:val="30"/>
        </w:rPr>
        <w:t>3</w:t>
      </w:r>
      <w:r>
        <w:rPr>
          <w:rFonts w:hint="eastAsia" w:asciiTheme="minorEastAsia" w:hAnsiTheme="minorEastAsia"/>
          <w:sz w:val="30"/>
          <w:szCs w:val="30"/>
        </w:rPr>
        <w:t>．主办企业与合作银行共同签署的•跨国公司跨境资金集中运营业务办理确认书</w:t>
      </w:r>
      <w:r>
        <w:rPr>
          <w:rFonts w:hint="eastAsia" w:hAnsi="MS Gothic" w:eastAsia="MS Gothic" w:cs="MS Gothic" w:asciiTheme="minorEastAsia"/>
          <w:sz w:val="30"/>
          <w:szCs w:val="30"/>
        </w:rPr>
        <w:t>‣</w:t>
      </w:r>
      <w:r>
        <w:rPr>
          <w:rFonts w:hint="eastAsia" w:asciiTheme="minorEastAsia" w:hAnsiTheme="minorEastAsia"/>
          <w:sz w:val="30"/>
          <w:szCs w:val="30"/>
        </w:rPr>
        <w:t>（见附</w:t>
      </w:r>
      <w:r>
        <w:rPr>
          <w:rFonts w:asciiTheme="minorEastAsia" w:hAnsiTheme="minorEastAsia"/>
          <w:sz w:val="30"/>
          <w:szCs w:val="30"/>
        </w:rPr>
        <w:t>1</w:t>
      </w:r>
      <w:r>
        <w:rPr>
          <w:rFonts w:hint="eastAsia" w:asciiTheme="minorEastAsia" w:hAnsiTheme="minorEastAsia"/>
          <w:sz w:val="30"/>
          <w:szCs w:val="30"/>
        </w:rPr>
        <w:t>）；</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4．主办企业及境内成员企业营业执照复印件和货物贸易分类结果证明材料；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5．境外成员企业注册文件（非中文的同时提供中文翻译件）；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6．金融业务许可证及经营范围批准文件（仅主办企业为财务公司的需提供）。</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以上第2项材料应加盖跨国公司公章，其余材料均应加盖主办企业公章。</w:t>
      </w:r>
      <w:r>
        <w:rPr>
          <w:rFonts w:hint="eastAsia" w:asciiTheme="minorEastAsia" w:hAnsiTheme="minorEastAsia"/>
          <w:sz w:val="30"/>
          <w:szCs w:val="30"/>
        </w:rPr>
        <w:cr/>
      </w:r>
      <w:r>
        <w:rPr>
          <w:rFonts w:hint="eastAsia" w:asciiTheme="minorEastAsia" w:hAnsiTheme="minorEastAsia"/>
          <w:sz w:val="30"/>
          <w:szCs w:val="30"/>
        </w:rPr>
        <w:t>（二）专项材料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外债额度集中管理。主办企业申请办理集中境内成员企业外债额度备案时，应在备案申请书中列表说明参加外债额度集中的境内成员企业名称、统一社会信用代码、注册地、每家境内成员企业上年末经审计的所有者权益状况、拟集中的外债额度，并提供贡献外债额度成员企业上年度资产负债表复印件（加盖主办企业公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境外放款额度集中管理。主办企业申请办理集中境内成员企业境外放款额度备案时，应在备案申请书中列表说明参加境外放款额度集中的境内成员企业名称、统一社会信用代码、注册地、每家境内成员企业上年末经审计的所有者权益状况、拟集中的境外放款额度，并提供贡献境外放款额度成员企业上年度资产负债表复印件（加盖主办企业公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经常项目资金集中收付和轧差净额结算。主办企业申请办理经常项目资金集中收付和轧差净额结算备案时，应在备案申请书中列表说明参与经常项目资金集中收付和轧差净额结算的境内成员企业名称、统一社会信用代码、注册地（加盖主办企业公章）。</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（三）如前述基本材料和专项材料有不清晰或不准确的地方，所在地外汇局可要求提供其他材料。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第八条 分局应在收到完整的跨国公司跨境资金集中运营业务备案申请材料之日起二十个工作日内完成备案手续，并通过主办企业所在地外汇局出具备案通知书（见附2）。</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第九条 主办企业为财务公司的，应当遵守行业主管部门规定，并将跨国公司跨境资金集中运营业务和其他业务（包括自身资产负债业务）分账管理。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第十条 跨国公司跨境资金集中运营业务办理期间，合作银行、主办企业、成员企业、业务种类等发生变更的，主办企业应提前一个月通过所在地外汇局向分局变更备案。分局应在收到完整的变更申请材料之日起二十个工作日内完成备案手续，并通过主办企业所在地外汇局出具备案通知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（一）合作银行变更的，应提交以下材料：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1．变更合作银行申请（包括拟选择的合作银行，原账户余额的处理方式等）；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2．加盖银行业务公章的原账户余额对账单；</w:t>
      </w:r>
    </w:p>
    <w:p>
      <w:pPr>
        <w:spacing w:line="360" w:lineRule="auto"/>
        <w:ind w:firstLine="600" w:firstLineChars="200"/>
        <w:rPr>
          <w:rFonts w:asciiTheme="minorEastAsia" w:hAnsiTheme="minorEastAsia"/>
          <w:sz w:val="30"/>
          <w:szCs w:val="30"/>
        </w:rPr>
      </w:pPr>
      <w:r>
        <w:rPr>
          <w:rFonts w:asciiTheme="minorEastAsia" w:hAnsiTheme="minorEastAsia"/>
          <w:sz w:val="30"/>
          <w:szCs w:val="30"/>
        </w:rPr>
        <w:t>3</w:t>
      </w:r>
      <w:r>
        <w:rPr>
          <w:rFonts w:hint="eastAsia" w:asciiTheme="minorEastAsia" w:hAnsiTheme="minorEastAsia"/>
          <w:sz w:val="30"/>
          <w:szCs w:val="30"/>
        </w:rPr>
        <w:t>．主办企业与变更后合作银行签署的•跨国公司跨境资金集中运营业务办理确认书</w:t>
      </w:r>
      <w:r>
        <w:rPr>
          <w:rFonts w:hint="eastAsia" w:hAnsi="MS Gothic" w:eastAsia="MS Gothic" w:cs="MS Gothic" w:asciiTheme="minorEastAsia"/>
          <w:sz w:val="30"/>
          <w:szCs w:val="30"/>
        </w:rPr>
        <w:t>‣</w:t>
      </w:r>
      <w:r>
        <w:rPr>
          <w:rFonts w:hint="eastAsia" w:asciiTheme="minorEastAsia" w:hAnsiTheme="minorEastAsia"/>
          <w:sz w:val="30"/>
          <w:szCs w:val="30"/>
        </w:rPr>
        <w:t>；</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4．原备案通知书复印件。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（二）主办企业变更、成员企业新增或退出、外债和境外放款额度变更、业务种类变更的，除参照第七条提交材料外，还应提交原备案通知书复印件。</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第十一条 主办企业、成员企业发生名称变更、分立、合并的，主办企业应在事项发生之日起一个月内报所在地外汇局，同时提交原备案通知书复印件、变更所涉企业的相关情况说明、涉及变更事项的证明材料（如变更后的营业执照等）。</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第十二条 主办企业应在取得跨国公司备案通知书后一年内开立国内资金主账户并实际办理跨境资金集中运营相关业务，否则备案通知书自颁发满一年之日起失效。合作银行应及时关闭主办企业据此开立的国内资金主账户；主办企业所在地外汇局也应在相关信息系统中及时维护额度等有关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第十三条 跨国公司需要停止办理跨境资金集中运营业务的，主办企业处理完毕相关债权债务、关闭国内资金主账户后，应通过所在地外汇局向分局备案，提交备案申请，包括跨国公司跨境资金集中运营的外债额度及境外放款额度集中、跨境收支及结售汇、国内资金主账户的关闭等相关情况。</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分局应在收到完整的跨国公司跨境资金集中运营备案申请材料之日起二十个工作日内完成备案手续，并通过主办企业所在地外汇局收回原备案通知书原件。</w:t>
      </w:r>
    </w:p>
    <w:p>
      <w:pPr>
        <w:spacing w:line="360" w:lineRule="auto"/>
        <w:ind w:firstLine="600" w:firstLineChars="200"/>
        <w:rPr>
          <w:rFonts w:asciiTheme="minorEastAsia" w:hAnsiTheme="minorEastAsia"/>
          <w:sz w:val="30"/>
          <w:szCs w:val="30"/>
        </w:rPr>
      </w:pPr>
    </w:p>
    <w:p>
      <w:pPr>
        <w:spacing w:line="360" w:lineRule="auto"/>
        <w:ind w:firstLine="602" w:firstLineChars="200"/>
        <w:jc w:val="center"/>
        <w:rPr>
          <w:rFonts w:asciiTheme="minorEastAsia" w:hAnsiTheme="minorEastAsia"/>
          <w:b/>
          <w:sz w:val="30"/>
          <w:szCs w:val="30"/>
        </w:rPr>
      </w:pPr>
      <w:r>
        <w:rPr>
          <w:rFonts w:hint="eastAsia" w:asciiTheme="minorEastAsia" w:hAnsiTheme="minorEastAsia"/>
          <w:b/>
          <w:sz w:val="30"/>
          <w:szCs w:val="30"/>
        </w:rPr>
        <w:t>第三章 外债额度集中管理</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第十四条 跨国公司可根据宏观审慎原则，集中境内成员企业外债额度，并在所集中的额度内遵循商业惯例自行开展外债业务。</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第十五条 跨国公司主办企业可以按照以下公式集中境内成员企业全部外债额度。</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跨国公司外债集中额度≤Σ主办企业及参与集中的境内成员企业上年末经审计的所有者权益*跨境融资杠杆率*宏观审慎调节参数。</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初始时期，跨境融资杠杆率为2，宏观审慎调节参数为1。国家外汇管理局可根据整体对外负债情况、期限结构、币种结构等对跨境融资杠杆率和宏观审慎调节参数进行调节。</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第十六条 参与跨国公司跨境资金集中运营业务并被集中外债额度的成员企业，自主办企业递交申请之日起，原则上不得自行举借外债。</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在主办企业递交申请之前，成员企业已经自行举借外债的，在其自行举借的外债全部偿清之前，原则上不得作为成员企业参与外债额度集中。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第十七条 主办企业可以自身为实际借款人集中借入外债，也可以成员企业为实际借款人代理其借入外债。但外债的借入和偿还应通过主办企业的国内资金主账户进行。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第十八条 主办企业所在地外汇局在为其出具备案通知书时，应在国家外汇管理局相关信息系统中按照经备案的外债集中额度为主办企业办理一次性外债登记。主办企业通过国内资金主账户融入和偿还外债资金时，应按照现行规定办理国际收支申报，无需再到所在地外汇局逐笔办理外债签约登记。</w:t>
      </w:r>
      <w:r>
        <w:rPr>
          <w:rFonts w:hint="eastAsia" w:asciiTheme="minorEastAsia" w:hAnsiTheme="minorEastAsia"/>
          <w:sz w:val="30"/>
          <w:szCs w:val="30"/>
        </w:rPr>
        <w:cr/>
      </w:r>
    </w:p>
    <w:p>
      <w:pPr>
        <w:spacing w:line="360" w:lineRule="auto"/>
        <w:ind w:firstLine="602" w:firstLineChars="200"/>
        <w:jc w:val="center"/>
        <w:rPr>
          <w:rFonts w:asciiTheme="minorEastAsia" w:hAnsiTheme="minorEastAsia"/>
          <w:b/>
          <w:sz w:val="30"/>
          <w:szCs w:val="30"/>
        </w:rPr>
      </w:pPr>
      <w:r>
        <w:rPr>
          <w:rFonts w:hint="eastAsia" w:asciiTheme="minorEastAsia" w:hAnsiTheme="minorEastAsia"/>
          <w:b/>
          <w:sz w:val="30"/>
          <w:szCs w:val="30"/>
        </w:rPr>
        <w:t>第四章 境外放款额度集中管理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第十九条 跨国公司可根据宏观审慎原则，集中境内成员企业的境外放款额度，并在所集中的额度内遵循商业惯例自行开展境外放款业务。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第二十条 跨国公司主办企业可以按照以下公式集中境内成员企业全部境外放款额度。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跨国公司境外放款集中额度≤Σ主办企业及参与集中的境内成员企业上年末经审计的所有者权益*境外放款杠杆率*宏观审慎调节参数。</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初始时期，境外放款杠杆率为0.3，宏观审慎调节参数为1。国家外汇管理局可根据整体境外放款情况、期限结构、币种结构等对境外放款杠杆率和宏观审慎调节参数进行调节。</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第二十一条 参与跨国公司跨境资金集中运营业务并被集中境外放款额度的成员企业，自主办企业递交申请之日起，原则上不得自行开展境外放款业务。在主办企业递交申请之前，成员企业已经自行开展境外放款业务的，在其境外放款全部收回之前，原则上不得作为成员企业参与境外放款额度集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第二十二条 主办企业可以自身为实际放款人进行境外放款，也可以成员企业为实际放款人代理其进行境外放款。境外放款资金的融出和收回应通过主办企业的国内资金主账户进行。</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第二十三条 主办企业所在地外汇局在为其出具备案通知书时，应在国家外汇管理局相关信息系统中按照经备案的境外放款集中额度为主办企业办理一次性境外放款额度登记。主办企业通过国内资金主账户融出和收回境外放款资金时，应按照现行规定办理国际收支申报，无需再到所在地外汇局逐笔办理境外放款额度登记。</w:t>
      </w:r>
      <w:r>
        <w:rPr>
          <w:rFonts w:hint="eastAsia" w:asciiTheme="minorEastAsia" w:hAnsiTheme="minorEastAsia"/>
          <w:sz w:val="30"/>
          <w:szCs w:val="30"/>
        </w:rPr>
        <w:cr/>
      </w:r>
    </w:p>
    <w:p>
      <w:pPr>
        <w:spacing w:line="360" w:lineRule="auto"/>
        <w:ind w:firstLine="602" w:firstLineChars="200"/>
        <w:jc w:val="center"/>
        <w:rPr>
          <w:rFonts w:asciiTheme="minorEastAsia" w:hAnsiTheme="minorEastAsia"/>
          <w:b/>
          <w:sz w:val="30"/>
          <w:szCs w:val="30"/>
        </w:rPr>
      </w:pPr>
      <w:r>
        <w:rPr>
          <w:rFonts w:hint="eastAsia" w:asciiTheme="minorEastAsia" w:hAnsiTheme="minorEastAsia"/>
          <w:b/>
          <w:sz w:val="30"/>
          <w:szCs w:val="30"/>
        </w:rPr>
        <w:t>第五章 经常项目资金集中收付和轧差净额结算业务管理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第二十四条 跨国公司可根据经营需要，通过主办企业办理经常项目资金集中收付或轧差净额结算业务。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经常项目资金集中收付是指主办企业通过国内资金主账户集中代理境内成员企业办理经常项目收支。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经常项目轧差净额结算是指主办企业通过国内资金主账户集中核算其境内外成员企业经常项目项下应收应付资金，合并一定时期内收付交易为单笔交易的操作方式。原则上每个自然月轧差净额结算不少于1次。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境内成员企业按照•货物贸易外汇管理指引</w:t>
      </w:r>
      <w:r>
        <w:rPr>
          <w:rFonts w:hint="eastAsia" w:hAnsi="MS Gothic" w:eastAsia="MS Gothic" w:cs="MS Gothic" w:asciiTheme="minorEastAsia"/>
          <w:sz w:val="30"/>
          <w:szCs w:val="30"/>
        </w:rPr>
        <w:t>‣</w:t>
      </w:r>
      <w:r>
        <w:rPr>
          <w:rFonts w:hint="eastAsia" w:asciiTheme="minorEastAsia" w:hAnsiTheme="minorEastAsia"/>
          <w:sz w:val="30"/>
          <w:szCs w:val="30"/>
        </w:rPr>
        <w:t>及其实施细则规定，需凭•货物贸易外汇业务登记表</w:t>
      </w:r>
      <w:r>
        <w:rPr>
          <w:rFonts w:hint="eastAsia" w:hAnsi="MS Gothic" w:eastAsia="MS Gothic" w:cs="MS Gothic" w:asciiTheme="minorEastAsia"/>
          <w:sz w:val="30"/>
          <w:szCs w:val="30"/>
        </w:rPr>
        <w:t>‣</w:t>
      </w:r>
      <w:r>
        <w:rPr>
          <w:rFonts w:hint="eastAsia" w:asciiTheme="minorEastAsia" w:hAnsiTheme="minorEastAsia"/>
          <w:sz w:val="30"/>
          <w:szCs w:val="30"/>
        </w:rPr>
        <w:t>办理的业务以及主办企业、境内成员企业的离岸转手买卖业务，不得参加经常项目资金集中收付和轧差净额结算，应按现行规定办理。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第二十五条 主办企业申请办理经常项目资金集中收付或轧差净额结算的，所在地外汇局在为其出具备案通知书时，应按规定办理货物贸易外汇业务登记手续。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第二十六条 办理经常项目资金集中收付或轧差净额结算应按以下要求进行涉外收付款申报：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办企业应对两类数据进行涉外收付款申报。一类是资金集中收付或轧差净额结算时主办企业的实际对外收付款数据（以下简称实际收付款数据）；另一类是逐笔还原资金集中收付或轧差净额结算前各成员企业的原始收付款数据（以下简称还原数据）。</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实际收付款数据不为零时，主办企业应通过办理实际对外收付款交易的境内银行进行申报，境内银行应将实际收付款信息交易编码标记为“</w:t>
      </w:r>
      <w:r>
        <w:rPr>
          <w:rFonts w:asciiTheme="minorEastAsia" w:hAnsiTheme="minorEastAsia"/>
          <w:sz w:val="30"/>
          <w:szCs w:val="30"/>
        </w:rPr>
        <w:t>999999”</w:t>
      </w:r>
      <w:r>
        <w:rPr>
          <w:rFonts w:hint="eastAsia" w:asciiTheme="minorEastAsia" w:hAnsiTheme="minorEastAsia"/>
          <w:sz w:val="30"/>
          <w:szCs w:val="30"/>
        </w:rPr>
        <w:t>。实际收付款数据为零时（轧差净额结算为零），主办企业应虚拟一笔结算为零的申报数据，填写•境外汇款申请书</w:t>
      </w:r>
      <w:r>
        <w:rPr>
          <w:rFonts w:hint="eastAsia" w:eastAsia="MS Gothic" w:cs="MS Gothic" w:asciiTheme="minorEastAsia" w:hAnsiTheme="minorEastAsia"/>
          <w:sz w:val="30"/>
          <w:szCs w:val="30"/>
        </w:rPr>
        <w:t>‣</w:t>
      </w:r>
      <w:r>
        <w:rPr>
          <w:rFonts w:hint="eastAsia" w:asciiTheme="minorEastAsia" w:hAnsiTheme="minorEastAsia"/>
          <w:sz w:val="30"/>
          <w:szCs w:val="30"/>
        </w:rPr>
        <w:t>，收付款人名称均为主办企业，交易编码标记为“</w:t>
      </w:r>
      <w:r>
        <w:rPr>
          <w:rFonts w:asciiTheme="minorEastAsia" w:hAnsiTheme="minorEastAsia"/>
          <w:sz w:val="30"/>
          <w:szCs w:val="30"/>
        </w:rPr>
        <w:t>999998”</w:t>
      </w:r>
      <w:r>
        <w:rPr>
          <w:rFonts w:hint="eastAsia" w:asciiTheme="minorEastAsia" w:hAnsiTheme="minorEastAsia"/>
          <w:sz w:val="30"/>
          <w:szCs w:val="30"/>
        </w:rPr>
        <w:t>，国别为“中国”，其他必输项可视情况填报或填写“</w:t>
      </w:r>
      <w:r>
        <w:rPr>
          <w:rFonts w:asciiTheme="minorEastAsia" w:hAnsiTheme="minorEastAsia"/>
          <w:sz w:val="30"/>
          <w:szCs w:val="30"/>
        </w:rPr>
        <w:t>N/A”</w:t>
      </w:r>
      <w:r>
        <w:rPr>
          <w:rFonts w:hint="eastAsia" w:asciiTheme="minorEastAsia" w:hAnsiTheme="minorEastAsia"/>
          <w:sz w:val="30"/>
          <w:szCs w:val="30"/>
        </w:rPr>
        <w:t>（大写英文字母）。境内银行应在其实际对外收付款之日（轧差净额结算为零时为轧差结算日或会计结算日）（</w:t>
      </w:r>
      <w:r>
        <w:rPr>
          <w:rFonts w:asciiTheme="minorEastAsia" w:hAnsiTheme="minorEastAsia"/>
          <w:sz w:val="30"/>
          <w:szCs w:val="30"/>
        </w:rPr>
        <w:t>T</w:t>
      </w:r>
      <w:r>
        <w:rPr>
          <w:rFonts w:hint="eastAsia" w:asciiTheme="minorEastAsia" w:hAnsiTheme="minorEastAsia"/>
          <w:sz w:val="30"/>
          <w:szCs w:val="30"/>
        </w:rPr>
        <w:t>）后的第</w:t>
      </w:r>
      <w:r>
        <w:rPr>
          <w:rFonts w:asciiTheme="minorEastAsia" w:hAnsiTheme="minorEastAsia"/>
          <w:sz w:val="30"/>
          <w:szCs w:val="30"/>
        </w:rPr>
        <w:t>1</w:t>
      </w:r>
      <w:r>
        <w:rPr>
          <w:rFonts w:hint="eastAsia" w:asciiTheme="minorEastAsia" w:hAnsiTheme="minorEastAsia"/>
          <w:sz w:val="30"/>
          <w:szCs w:val="30"/>
        </w:rPr>
        <w:t>个工作日（</w:t>
      </w:r>
      <w:r>
        <w:rPr>
          <w:rFonts w:asciiTheme="minorEastAsia" w:hAnsiTheme="minorEastAsia"/>
          <w:sz w:val="30"/>
          <w:szCs w:val="30"/>
        </w:rPr>
        <w:t>T</w:t>
      </w:r>
      <w:r>
        <w:rPr>
          <w:rFonts w:hint="eastAsia" w:asciiTheme="minorEastAsia" w:hAnsiTheme="minorEastAsia"/>
          <w:sz w:val="30"/>
          <w:szCs w:val="30"/>
        </w:rPr>
        <w:t>＋</w:t>
      </w:r>
      <w:r>
        <w:rPr>
          <w:rFonts w:asciiTheme="minorEastAsia" w:hAnsiTheme="minorEastAsia"/>
          <w:sz w:val="30"/>
          <w:szCs w:val="30"/>
        </w:rPr>
        <w:t>1</w:t>
      </w:r>
      <w:r>
        <w:rPr>
          <w:rFonts w:hint="eastAsia" w:asciiTheme="minorEastAsia" w:hAnsiTheme="minorEastAsia"/>
          <w:sz w:val="30"/>
          <w:szCs w:val="30"/>
        </w:rPr>
        <w:t>）中午</w:t>
      </w:r>
      <w:r>
        <w:rPr>
          <w:rFonts w:asciiTheme="minorEastAsia" w:hAnsiTheme="minorEastAsia"/>
          <w:sz w:val="30"/>
          <w:szCs w:val="30"/>
        </w:rPr>
        <w:t>12:00</w:t>
      </w:r>
      <w:r>
        <w:rPr>
          <w:rFonts w:hint="eastAsia" w:asciiTheme="minorEastAsia" w:hAnsiTheme="minorEastAsia"/>
          <w:sz w:val="30"/>
          <w:szCs w:val="30"/>
        </w:rPr>
        <w:t>前，完成实际数据的报送工作。</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对还原数据的申报，主办企业应按照实际收付款的日期（轧差净额结算为零时为轧差结算日或会计结算日）确认还原数据申报时点（T），并根据全收全支原则，以境内成员企业名义，向实际办理或记账处理对外收付款业务的银行提供还原数据的基础信息和申报信息，使其至少包括涉外收付款统计申报的所需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境内银行应在实际对外收付款之日（T）后的第1个工作日（T＋1）中午12:00前，完成还原数据基础信息的报送工作；第5个工作日（T＋5）前，完成还原数据申报信息的报送工作。申报单号码由发生实际收付款的银行编制，交易编码按照实际交易性质填报。境内银行应将还原数据的“银行业务编号”填写为所对应的实际收付款数据的申报号码，以便建立集中收付数据与还原数据间的对应关系。境内银行应为主办企业提供申报渠道等基础条件，并负责将还原数据的基础信息和申报信息传送到外汇局。</w:t>
      </w:r>
      <w:r>
        <w:rPr>
          <w:rFonts w:hint="eastAsia" w:asciiTheme="minorEastAsia" w:hAnsiTheme="minorEastAsia"/>
          <w:sz w:val="30"/>
          <w:szCs w:val="30"/>
        </w:rPr>
        <w:cr/>
      </w:r>
    </w:p>
    <w:p>
      <w:pPr>
        <w:spacing w:line="360" w:lineRule="auto"/>
        <w:jc w:val="center"/>
        <w:rPr>
          <w:rFonts w:asciiTheme="minorEastAsia" w:hAnsiTheme="minorEastAsia"/>
          <w:b/>
          <w:color w:val="FF0000"/>
          <w:sz w:val="30"/>
          <w:szCs w:val="30"/>
        </w:rPr>
      </w:pPr>
      <w:r>
        <w:rPr>
          <w:rFonts w:hint="eastAsia" w:asciiTheme="minorEastAsia" w:hAnsiTheme="minorEastAsia"/>
          <w:b/>
          <w:color w:val="FF0000"/>
          <w:sz w:val="30"/>
          <w:szCs w:val="30"/>
        </w:rPr>
        <w:t>第六章 账户管理</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第二十七条 跨国公司的主办企业可持备案通知书，在经备案的合作银行直接开立国内资金主账户，办理跨境资金集中运营相关业务。</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跨国公司可以根据经营需要，选择一家境外成员企业，在经备案的合作银行开立NRA账户，集中运营管理境外成员企业资金。</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第二十八条 国内资金主账户可以是多币种（含人民币）账户，开户数量不予限制，但应符合审慎监管要求；国内资金主账户允许日间及隔夜透支；透支资金只能用于对外支付，收到资金后应优先偿还透支款。</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第二十九条 国内资金主账户收支范围如下：</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（一）收入范围</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1．境内成员企业从境外直接获得的经常项目收入；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2．境内成员企业经常项目账户、资本金账户、资产变现账户、境内再投资专用账户划入；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3．集中额度内从境外融入的外债和收回的境外放款本</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4．购汇存入（经常项目项下对外支付购汇所得资金、购汇境外放款或偿还外债资金）；</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5．存款本息；</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6．同一主办企业其它国内资金主账户资金划转收入；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7．外汇局核准的其他收入。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除另有规定外，跨国公司境内成员企业向境内存款性金融机构借入的外汇贷款不得进入国内资金主账户（用于偿还外债、境外放款等除外）。</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（二）支出范围</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1．境内成员企业向境外的经常项目支出；</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2．向境内成员企业经常项目账户、资本金账户、资产变现账户、再投资专用账户划出；</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3．集中额度内向境外融出的境外放款和偿还的外债本息；</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4．结汇；</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5．存款划出；</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6．交纳存款准备金；</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7．同一主办企业其它国内资金主账户资金划转支出；</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8．外汇局核准的其他支出。</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第三十条 国内资金主账户跨境资金收付应按现行规定办理国际收支申报。国内资金主账户涉及外债资金收付的，资金净融入金额（即外债余额）不得超过经备案的外债集中额度；涉及境外放款资金收付的，资金净融出金额（即境外放款余额）不得超过经备案的境外放款集中额度。</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第三十一条 国内资金主账户与境外经常项目收付以及结售汇，包括集中收付和轧差净额结算等，由经办银行按照“了解客户”“了解业务”“尽职审查”等展业原则办理相关手续。对于资金性质不明确的，银行应当要求主办企业提供相关单证，服务贸易等项目对外支付仍需按规定提交税务备案表。</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A类成员企业货物贸易收入（退汇和离岸转手买卖除外）可不进入出口收入待核查账户；对于退汇日期与原收、付款日期间隔在180天（不含）以上或由于特殊情况无法按规定办理原路退汇的，主办企业应当到所在地外汇局办理货物贸易外汇业务登记手续，并提供书面申请、原收入/支出申报单证、原进/出口合同、退汇合同等。</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主办企业及境内成员企业应按货物贸易外汇管理规定，及时、准确通过货物贸易外汇业务监测系统（企业端）进行贸易信贷、贸易融资等业务报告。</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银行、主办企业应当分别留存充分证明其交易真实、合法的相关文件和单证等五年备查。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第三十二条 国内资金主账户可集中办理经常项下、直接投资、外债和境外放款项下结售汇。</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境内成员企业归集至主办企业的外商直接投资项下外汇资金（包括外汇资本金、资产变现账户资金和境内再投资账户资金），以及主办企业在经备案的集中额度内融入的外债资金和收回的境外放款本息，在国内资金主账户内可以按照意愿结汇方式或支付结汇方式办理结汇手续，并遵守现行“资本项目—结汇待支付账户”和资金用途等方面的规定。</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第三十三条 主办企业在办理国内资金主账户内资本项目外汇收入（含外汇和结汇所得人民币资金）支付使用时，可在承诺相关交易真实合规的前提下，凭《资本项目账户资金支付命令函</w:t>
      </w:r>
      <w:r>
        <w:rPr>
          <w:rFonts w:hint="eastAsia" w:cs="MS Gothic" w:asciiTheme="minorEastAsia" w:hAnsiTheme="minorEastAsia"/>
          <w:color w:val="FF0000"/>
          <w:sz w:val="30"/>
          <w:szCs w:val="30"/>
        </w:rPr>
        <w:t>》</w:t>
      </w:r>
      <w:r>
        <w:rPr>
          <w:rFonts w:hint="eastAsia" w:asciiTheme="minorEastAsia" w:hAnsiTheme="minorEastAsia"/>
          <w:color w:val="FF0000"/>
          <w:sz w:val="30"/>
          <w:szCs w:val="30"/>
        </w:rPr>
        <w:t>直接在合作银行办理，无需事前向合作银行逐笔提供真实性证明材料；经办银行应按照“了解客户”“了解业务”“尽职审查”等展业原则进行真实合规性审核。</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银行、主办企业应当分别留存充分证明其交易真实、合法的相关文件和单证等五年备查。</w:t>
      </w:r>
    </w:p>
    <w:p>
      <w:pPr>
        <w:spacing w:line="360" w:lineRule="auto"/>
        <w:ind w:firstLine="600" w:firstLineChars="200"/>
        <w:rPr>
          <w:rFonts w:asciiTheme="minorEastAsia" w:hAnsiTheme="minorEastAsia"/>
          <w:color w:val="FF0000"/>
          <w:sz w:val="30"/>
          <w:szCs w:val="30"/>
        </w:rPr>
      </w:pPr>
      <w:r>
        <w:rPr>
          <w:rFonts w:hint="eastAsia" w:asciiTheme="minorEastAsia" w:hAnsiTheme="minorEastAsia"/>
          <w:color w:val="FF0000"/>
          <w:sz w:val="30"/>
          <w:szCs w:val="30"/>
        </w:rPr>
        <w:t>第三十四条 主办企业应当按照《国家外汇管理局关于印发&lt;通过银行进行国际收支统计申报业务实施细则&gt;的通知</w:t>
      </w:r>
      <w:r>
        <w:rPr>
          <w:rFonts w:hint="eastAsia" w:cs="MS Gothic" w:asciiTheme="minorEastAsia" w:hAnsiTheme="minorEastAsia"/>
          <w:color w:val="FF0000"/>
          <w:sz w:val="30"/>
          <w:szCs w:val="30"/>
        </w:rPr>
        <w:t>》</w:t>
      </w:r>
      <w:r>
        <w:rPr>
          <w:rFonts w:hint="eastAsia" w:asciiTheme="minorEastAsia" w:hAnsiTheme="minorEastAsia"/>
          <w:color w:val="FF0000"/>
          <w:sz w:val="30"/>
          <w:szCs w:val="30"/>
        </w:rPr>
        <w:t>（汇发〔2015〕27号）进行涉外收付款申报；主办企业为财务公司或指定申报主体的，还应当按照《国家外汇管理局关于印发&lt;对外金融资产负债及交易统计制度&gt;的通知</w:t>
      </w:r>
      <w:r>
        <w:rPr>
          <w:rFonts w:hint="eastAsia" w:cs="MS Gothic" w:asciiTheme="minorEastAsia" w:hAnsiTheme="minorEastAsia"/>
          <w:color w:val="FF0000"/>
          <w:sz w:val="30"/>
          <w:szCs w:val="30"/>
        </w:rPr>
        <w:t>》</w:t>
      </w:r>
      <w:r>
        <w:rPr>
          <w:rFonts w:hint="eastAsia" w:asciiTheme="minorEastAsia" w:hAnsiTheme="minorEastAsia"/>
          <w:color w:val="FF0000"/>
          <w:sz w:val="30"/>
          <w:szCs w:val="30"/>
        </w:rPr>
        <w:t>（汇发〔2018〕24号）的规定进行申报。</w:t>
      </w:r>
    </w:p>
    <w:p>
      <w:pPr>
        <w:spacing w:line="360" w:lineRule="auto"/>
        <w:ind w:firstLine="600" w:firstLineChars="200"/>
        <w:rPr>
          <w:rFonts w:asciiTheme="minorEastAsia" w:hAnsiTheme="minorEastAsia"/>
          <w:sz w:val="30"/>
          <w:szCs w:val="30"/>
        </w:rPr>
      </w:pPr>
    </w:p>
    <w:p>
      <w:pPr>
        <w:spacing w:line="360" w:lineRule="auto"/>
        <w:jc w:val="center"/>
        <w:rPr>
          <w:rFonts w:asciiTheme="minorEastAsia" w:hAnsiTheme="minorEastAsia"/>
          <w:b/>
          <w:sz w:val="30"/>
          <w:szCs w:val="30"/>
        </w:rPr>
      </w:pPr>
      <w:r>
        <w:rPr>
          <w:rFonts w:hint="eastAsia" w:asciiTheme="minorEastAsia" w:hAnsiTheme="minorEastAsia"/>
          <w:b/>
          <w:sz w:val="30"/>
          <w:szCs w:val="30"/>
        </w:rPr>
        <w:t>第七章 监督管理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第三十五条 主办企业应认真按照本规定及备案通知书内容开展业务。业务开展期间，相关事项发生变更的，应按要求及时向所在地外汇局办理变更手续。</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主办企业应做好额度控制，确保任一时点外债余额和境外放款余额不超过经备案的集中额度。</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主办企业及成员企业应严格按规定通过银行对跨境资金收付进行国际收支申报，并报送相关账户信息。</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第三十六条 合作银行对跨国公司跨境资金集中运营业务及提交的材料，应做好真实性和合规性审核，做好资金流动的监测和额度管理。</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第三十七条 合作银行应与跨国公司联合制定跨境资金集中运营业务的内部管理规章制度，包括但不限于业务模式、操作流程、内控制度、组织架构、系统建设、风险防控措施、数据监测方式以及技术服务保障方案等内容，并留存备查。</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第三十八条 合作银行应按规定及时、完整、准确地报送相关账户信息、国际收支申报、境内资金划转、结售汇等数据，审核企业报送的业务数据，协助做好非现场监测。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第三十九条 分局应采取下列措施确保跨国公司跨境资金集中运营管理工作平稳有序，政策落到实处：</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（一）应按“谁备案，谁负责”的原则，定期或不定期进行风险评估。在评估过程中，发现银行或企业违反有关规定的，应要求其限期整改，必要时暂停相关业务。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二）强化非现场监测与现场核查检查。充分利用跨境资金流动监测与分析系统和资本项目信息系统等现有外汇管理系统，建立跨国公司名单，全面分析跨国公司跨境资金集中运营业务项下相关跨境收支、结售汇及账户管理等情况，加强对相关业务的跟踪分析监测。</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三）做好银行、企业风险提示和业务指导工作。采取有效措施满足企业真实合理需求，督促银行建立操作规程和内控制度，提供必要的技术服务保障。必要时，可要求主办企业对跨境资金集中运营业务的合规性等进行审计。</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第四十条 主办企业货物贸易分类结果降为B、C类，所在地外汇局将通知跨国公司变更主办企业并重新提交申请材料；其他成员企业货物贸易分类结果降为B、C类，主办企业应终止其业务，并向所在地外汇局进行成员企业变更。</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第四十一条 跨国公司主办企业及成员企业应依法依规开展跨境资金集中运营业务，违规行为将按照《外汇管理条例</w:t>
      </w:r>
      <w:r>
        <w:rPr>
          <w:rFonts w:hint="eastAsia" w:cs="MS Gothic" w:asciiTheme="minorEastAsia" w:hAnsiTheme="minorEastAsia"/>
          <w:sz w:val="30"/>
          <w:szCs w:val="30"/>
        </w:rPr>
        <w:t>》</w:t>
      </w:r>
      <w:r>
        <w:rPr>
          <w:rFonts w:hint="eastAsia" w:asciiTheme="minorEastAsia" w:hAnsiTheme="minorEastAsia"/>
          <w:sz w:val="30"/>
          <w:szCs w:val="30"/>
        </w:rPr>
        <w:t>等相关法规进行查处。</w:t>
      </w:r>
      <w:r>
        <w:rPr>
          <w:rFonts w:hint="eastAsia" w:asciiTheme="minorEastAsia" w:hAnsiTheme="minorEastAsia"/>
          <w:sz w:val="30"/>
          <w:szCs w:val="30"/>
        </w:rPr>
        <w:cr/>
      </w:r>
    </w:p>
    <w:p>
      <w:pPr>
        <w:spacing w:line="360" w:lineRule="auto"/>
        <w:jc w:val="center"/>
        <w:rPr>
          <w:rFonts w:asciiTheme="minorEastAsia" w:hAnsiTheme="minorEastAsia"/>
          <w:b/>
          <w:sz w:val="30"/>
          <w:szCs w:val="30"/>
        </w:rPr>
      </w:pPr>
      <w:bookmarkStart w:id="0" w:name="_GoBack"/>
      <w:bookmarkEnd w:id="0"/>
      <w:r>
        <w:rPr>
          <w:rFonts w:hint="eastAsia" w:asciiTheme="minorEastAsia" w:hAnsiTheme="minorEastAsia"/>
          <w:b/>
          <w:sz w:val="30"/>
          <w:szCs w:val="30"/>
        </w:rPr>
        <w:t>第八章 附</w:t>
      </w:r>
      <w:r>
        <w:rPr>
          <w:rFonts w:hint="eastAsia" w:asciiTheme="minorEastAsia" w:hAnsiTheme="minorEastAsia"/>
          <w:b/>
          <w:sz w:val="30"/>
          <w:szCs w:val="30"/>
          <w:lang w:val="en-US" w:eastAsia="zh-CN"/>
        </w:rPr>
        <w:t xml:space="preserve"> </w:t>
      </w:r>
      <w:r>
        <w:rPr>
          <w:rFonts w:hint="eastAsia" w:asciiTheme="minorEastAsia" w:hAnsiTheme="minorEastAsia"/>
          <w:b/>
          <w:sz w:val="30"/>
          <w:szCs w:val="30"/>
        </w:rPr>
        <w:t>则</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第四十二条 跨国公司主办企业和成员企业原则上不得重复申请跨境资金集中运营备案。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第四十三条 国家外汇管理局可根据国家宏观调控政策、国际收支形势及业务开展情况，对跨国公司跨境资金集中运营业务相关政策进行调整。对于不符合本规定关于成员企业资格、额度等要求的情形，允许由主办企业所在地分局视具体情况，根据风险可控的原则，按照规定程序集体审议决定。</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第四十四条 本规定自发布之日起实施，由国家外汇管理局负责解释。《国家外汇管理局关于印发&lt;跨国公司外汇资金集中运营管理规定</w:t>
      </w:r>
      <w:r>
        <w:rPr>
          <w:rFonts w:asciiTheme="minorEastAsia" w:hAnsiTheme="minorEastAsia"/>
          <w:sz w:val="30"/>
          <w:szCs w:val="30"/>
        </w:rPr>
        <w:t>&gt;</w:t>
      </w:r>
      <w:r>
        <w:rPr>
          <w:rFonts w:hint="eastAsia" w:asciiTheme="minorEastAsia" w:hAnsiTheme="minorEastAsia"/>
          <w:sz w:val="30"/>
          <w:szCs w:val="30"/>
        </w:rPr>
        <w:t>的通知</w:t>
      </w:r>
      <w:r>
        <w:rPr>
          <w:rFonts w:hint="eastAsia" w:cs="MS Gothic" w:asciiTheme="minorEastAsia" w:hAnsiTheme="minorEastAsia"/>
          <w:sz w:val="30"/>
          <w:szCs w:val="30"/>
        </w:rPr>
        <w:t>》</w:t>
      </w:r>
      <w:r>
        <w:rPr>
          <w:rFonts w:hint="eastAsia" w:asciiTheme="minorEastAsia" w:hAnsiTheme="minorEastAsia"/>
          <w:sz w:val="30"/>
          <w:szCs w:val="30"/>
        </w:rPr>
        <w:t>（汇发〔2015〕</w:t>
      </w:r>
      <w:r>
        <w:rPr>
          <w:rFonts w:asciiTheme="minorEastAsia" w:hAnsiTheme="minorEastAsia"/>
          <w:sz w:val="30"/>
          <w:szCs w:val="30"/>
        </w:rPr>
        <w:t>36</w:t>
      </w:r>
      <w:r>
        <w:rPr>
          <w:rFonts w:hint="eastAsia" w:asciiTheme="minorEastAsia" w:hAnsiTheme="minorEastAsia"/>
          <w:sz w:val="30"/>
          <w:szCs w:val="30"/>
        </w:rPr>
        <w:t>号）同时废止。</w:t>
      </w:r>
      <w:r>
        <w:rPr>
          <w:rFonts w:asciiTheme="minorEastAsia" w:hAnsiTheme="minorEastAsia"/>
          <w:sz w:val="30"/>
          <w:szCs w:val="30"/>
        </w:rPr>
        <w:cr/>
      </w:r>
    </w:p>
    <w:p>
      <w:pPr>
        <w:spacing w:line="360" w:lineRule="auto"/>
        <w:ind w:firstLine="420" w:firstLineChars="200"/>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t>附1</w:t>
      </w:r>
    </w:p>
    <w:p>
      <w:pPr>
        <w:spacing w:line="360" w:lineRule="auto"/>
        <w:ind w:firstLine="422" w:firstLineChars="200"/>
        <w:jc w:val="center"/>
        <w:rPr>
          <w:rFonts w:asciiTheme="minorEastAsia" w:hAnsiTheme="minorEastAsia"/>
          <w:b/>
          <w:szCs w:val="21"/>
        </w:rPr>
      </w:pPr>
      <w:r>
        <w:rPr>
          <w:rFonts w:hint="eastAsia" w:asciiTheme="minorEastAsia" w:hAnsiTheme="minorEastAsia"/>
          <w:b/>
          <w:szCs w:val="21"/>
        </w:rPr>
        <w:t>跨国公司跨境资金集中运营业务办理确认书</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本单位已知晓跨国公司跨境资金集中运营管理政策及相关要求，仔细阅读本确认书告知和提示的本单位义务以及外汇局监管要求。承诺将：</w:t>
      </w:r>
    </w:p>
    <w:p>
      <w:pPr>
        <w:spacing w:line="360" w:lineRule="auto"/>
        <w:ind w:firstLine="420" w:firstLineChars="200"/>
        <w:rPr>
          <w:rFonts w:asciiTheme="minorEastAsia" w:hAnsiTheme="minorEastAsia"/>
          <w:szCs w:val="21"/>
        </w:rPr>
      </w:pPr>
      <w:r>
        <w:rPr>
          <w:rFonts w:hint="eastAsia" w:asciiTheme="minorEastAsia" w:hAnsiTheme="minorEastAsia"/>
          <w:szCs w:val="21"/>
        </w:rPr>
        <w:t>一、依法合规开展跨境资金集中运营业务。在满足下列要求前提下，享有按照政策规定的便利措施办理相关业务的权利：签署本确认书，严格按照要求办理业务，合规经营等。</w:t>
      </w:r>
      <w:r>
        <w:rPr>
          <w:rFonts w:hint="eastAsia" w:asciiTheme="minorEastAsia" w:hAnsiTheme="minorEastAsia"/>
          <w:szCs w:val="21"/>
        </w:rPr>
        <w:cr/>
      </w:r>
      <w:r>
        <w:rPr>
          <w:rFonts w:hint="eastAsia" w:asciiTheme="minorEastAsia" w:hAnsiTheme="minorEastAsia"/>
          <w:szCs w:val="21"/>
        </w:rPr>
        <w:t>二、按外汇局政策规定及时、准确、完整地报送业务数据；不使用虚假合同或者构造交易办理业务，接受并配合外汇局对本单位的监督检查，及时、如实说明情况并提供相关单证资料。</w:t>
      </w:r>
    </w:p>
    <w:p>
      <w:pPr>
        <w:spacing w:line="360" w:lineRule="auto"/>
        <w:ind w:firstLine="420" w:firstLineChars="200"/>
        <w:rPr>
          <w:rFonts w:asciiTheme="minorEastAsia" w:hAnsiTheme="minorEastAsia"/>
          <w:szCs w:val="21"/>
        </w:rPr>
      </w:pPr>
      <w:r>
        <w:rPr>
          <w:rFonts w:hint="eastAsia" w:asciiTheme="minorEastAsia" w:hAnsiTheme="minorEastAsia"/>
          <w:szCs w:val="21"/>
        </w:rPr>
        <w:t>三、理解并接受外汇局根据国际收支形势对政策和业务进行适时调整。</w:t>
      </w:r>
      <w:r>
        <w:rPr>
          <w:rFonts w:hint="eastAsia" w:asciiTheme="minorEastAsia" w:hAnsiTheme="minorEastAsia"/>
          <w:b/>
          <w:szCs w:val="21"/>
        </w:rPr>
        <w:t>遵守外汇局关于外债和境外放款宏观审慎调节参数和杠杆率调整要求。自行承担由于外汇局调整政策以及本单位违规行为而引起的相关损失。</w:t>
      </w:r>
      <w:r>
        <w:rPr>
          <w:rFonts w:hint="eastAsia" w:asciiTheme="minorEastAsia" w:hAnsiTheme="minorEastAsia"/>
          <w:szCs w:val="21"/>
        </w:rPr>
        <w:t>违反政策及相关要求的，接受外汇局依法实施的包括行政处罚、暂停或终止业务、对外公布相关处罚决定等在内的处理措施。</w:t>
      </w:r>
    </w:p>
    <w:p>
      <w:pPr>
        <w:spacing w:line="360" w:lineRule="auto"/>
        <w:ind w:firstLine="420" w:firstLineChars="200"/>
        <w:rPr>
          <w:rFonts w:asciiTheme="minorEastAsia" w:hAnsiTheme="minorEastAsia"/>
          <w:szCs w:val="21"/>
        </w:rPr>
      </w:pPr>
      <w:r>
        <w:rPr>
          <w:rFonts w:hint="eastAsia" w:asciiTheme="minorEastAsia" w:hAnsiTheme="minorEastAsia"/>
          <w:szCs w:val="21"/>
        </w:rPr>
        <w:t>四、本确认书适用于跨国公司跨境资金集中运营业务；本确认书未尽事项，按照有关外汇管理法规规定执行。</w:t>
      </w:r>
    </w:p>
    <w:p>
      <w:pPr>
        <w:spacing w:line="360" w:lineRule="auto"/>
        <w:ind w:firstLine="420" w:firstLineChars="200"/>
        <w:rPr>
          <w:rFonts w:asciiTheme="minorEastAsia" w:hAnsiTheme="minorEastAsia"/>
          <w:szCs w:val="21"/>
        </w:rPr>
      </w:pPr>
      <w:r>
        <w:rPr>
          <w:rFonts w:hint="eastAsia" w:asciiTheme="minorEastAsia" w:hAnsiTheme="minorEastAsia"/>
          <w:szCs w:val="21"/>
        </w:rPr>
        <w:t>五、本确认书适用于本单位及所属成员单位，自签署时生效。</w:t>
      </w:r>
    </w:p>
    <w:p>
      <w:pPr>
        <w:spacing w:line="360" w:lineRule="auto"/>
        <w:ind w:firstLine="420" w:firstLineChars="200"/>
        <w:rPr>
          <w:rFonts w:asciiTheme="minorEastAsia" w:hAnsiTheme="minorEastAsia"/>
          <w:szCs w:val="21"/>
        </w:rPr>
      </w:pPr>
      <w:r>
        <w:rPr>
          <w:rFonts w:hint="eastAsia" w:asciiTheme="minorEastAsia" w:hAnsiTheme="minorEastAsia"/>
          <w:szCs w:val="21"/>
        </w:rPr>
        <w:t>本单位将认真学习并遵守相关政策及要求，积极支持配合外汇局对跨国公司跨境资金集中运营业务的管理。</w:t>
      </w:r>
    </w:p>
    <w:p>
      <w:pPr>
        <w:spacing w:line="360" w:lineRule="auto"/>
        <w:ind w:firstLine="420" w:firstLineChars="200"/>
        <w:rPr>
          <w:rFonts w:asciiTheme="minorEastAsia" w:hAnsiTheme="minorEastAsia"/>
          <w:szCs w:val="21"/>
        </w:rPr>
      </w:pPr>
    </w:p>
    <w:p>
      <w:pPr>
        <w:spacing w:line="360" w:lineRule="auto"/>
        <w:ind w:firstLine="420" w:firstLineChars="200"/>
        <w:rPr>
          <w:rFonts w:hint="eastAsia" w:asciiTheme="minorEastAsia" w:hAnsiTheme="minorEastAsia"/>
          <w:szCs w:val="21"/>
        </w:rPr>
      </w:pPr>
      <w:r>
        <w:rPr>
          <w:rFonts w:asciiTheme="minorEastAsia" w:hAnsiTheme="minorEastAsia"/>
          <w:szCs w:val="21"/>
        </w:rPr>
        <w:pict>
          <v:shape id="_x0000_s2050" o:spid="_x0000_s2050" o:spt="202" type="#_x0000_t202" style="position:absolute;left:0pt;margin-left:5.6pt;margin-top:78.3pt;height:179.55pt;width:414pt;mso-wrap-distance-bottom:0pt;mso-wrap-distance-top:0pt;z-index:251660288;mso-width-relative:margin;mso-height-relative:margin;mso-height-percent:200;" coordsize="21600,21600">
            <v:path/>
            <v:fill focussize="0,0"/>
            <v:stroke joinstyle="miter"/>
            <v:imagedata o:title=""/>
            <o:lock v:ext="edit"/>
            <v:textbox style="mso-fit-shape-to-text:t;">
              <w:txbxContent>
                <w:p>
                  <w:pPr>
                    <w:spacing w:line="360" w:lineRule="auto"/>
                    <w:ind w:firstLine="420" w:firstLineChars="200"/>
                    <w:rPr>
                      <w:rFonts w:asciiTheme="minorEastAsia" w:hAnsiTheme="minorEastAsia"/>
                      <w:szCs w:val="21"/>
                    </w:rPr>
                  </w:pPr>
                  <w:r>
                    <w:rPr>
                      <w:rFonts w:hint="eastAsia" w:asciiTheme="minorEastAsia" w:hAnsiTheme="minorEastAsia"/>
                      <w:szCs w:val="21"/>
                    </w:rPr>
                    <w:t>为进一步促进贸易投资便利化，外汇局依法制定本确认书，提示企业、银行在开展跨国公司跨境资金集中运营业务中依法享有的权利和应当承担的义务。企业、银行签署本确认书并认真执行，享有按照跨境资金集中运营管理规定的便利措施办理相关业务的权利。</w:t>
                  </w:r>
                </w:p>
                <w:p>
                  <w:pPr>
                    <w:spacing w:line="360" w:lineRule="auto"/>
                    <w:ind w:firstLine="420" w:firstLineChars="200"/>
                    <w:rPr>
                      <w:rFonts w:asciiTheme="minorEastAsia" w:hAnsiTheme="minorEastAsia"/>
                      <w:szCs w:val="21"/>
                    </w:rPr>
                  </w:pPr>
                  <w:r>
                    <w:rPr>
                      <w:rFonts w:hint="eastAsia" w:asciiTheme="minorEastAsia" w:hAnsiTheme="minorEastAsia"/>
                      <w:szCs w:val="21"/>
                    </w:rPr>
                    <w:t>外汇局根据国际收支形势等具体情况，制定、调整跨国公司跨境资金集中运营管理政策，并依法予以告知。</w:t>
                  </w:r>
                </w:p>
                <w:p>
                  <w:pPr>
                    <w:spacing w:line="360" w:lineRule="auto"/>
                    <w:ind w:firstLine="420" w:firstLineChars="200"/>
                    <w:rPr>
                      <w:rFonts w:asciiTheme="minorEastAsia" w:hAnsiTheme="minorEastAsia"/>
                      <w:szCs w:val="21"/>
                    </w:rPr>
                  </w:pPr>
                  <w:r>
                    <w:rPr>
                      <w:rFonts w:hint="eastAsia" w:asciiTheme="minorEastAsia" w:hAnsiTheme="minorEastAsia"/>
                      <w:szCs w:val="21"/>
                    </w:rPr>
                    <w:t>外汇局依法对跨国公司跨境资金集中运营业务进行监督检查。对企业、银行违规行为，按照《中华人民共和国外汇管理条例</w:t>
                  </w:r>
                  <w:r>
                    <w:rPr>
                      <w:rFonts w:hint="eastAsia" w:cs="MS Gothic" w:asciiTheme="minorEastAsia" w:hAnsiTheme="minorEastAsia"/>
                      <w:szCs w:val="21"/>
                    </w:rPr>
                    <w:t>》</w:t>
                  </w:r>
                  <w:r>
                    <w:rPr>
                      <w:rFonts w:hint="eastAsia" w:asciiTheme="minorEastAsia" w:hAnsiTheme="minorEastAsia"/>
                      <w:szCs w:val="21"/>
                    </w:rPr>
                    <w:t>等法规规定进行行政处罚。</w:t>
                  </w:r>
                </w:p>
              </w:txbxContent>
            </v:textbox>
            <w10:wrap type="topAndBottom"/>
          </v:shape>
        </w:pict>
      </w:r>
      <w:r>
        <w:rPr>
          <w:rFonts w:hint="eastAsia" w:asciiTheme="minorEastAsia" w:hAnsiTheme="minorEastAsia"/>
          <w:szCs w:val="21"/>
        </w:rPr>
        <w:t>企业（公章）：                                 银行（公章）：</w:t>
      </w:r>
      <w:r>
        <w:rPr>
          <w:rFonts w:asciiTheme="minorEastAsia" w:hAnsiTheme="minorEastAsia"/>
          <w:szCs w:val="21"/>
        </w:rPr>
        <w:cr/>
      </w:r>
      <w:r>
        <w:rPr>
          <w:rFonts w:hint="eastAsia" w:asciiTheme="minorEastAsia" w:hAnsiTheme="minorEastAsia"/>
          <w:szCs w:val="21"/>
        </w:rPr>
        <w:t xml:space="preserve">    法定代表人（签字）：                           负责人（签字）：</w:t>
      </w:r>
      <w:r>
        <w:rPr>
          <w:rFonts w:hint="eastAsia" w:asciiTheme="minorEastAsia" w:hAnsiTheme="minorEastAsia"/>
          <w:szCs w:val="21"/>
        </w:rPr>
        <w:cr/>
      </w:r>
      <w:r>
        <w:rPr>
          <w:rFonts w:hint="eastAsia" w:asciiTheme="minorEastAsia" w:hAnsiTheme="minorEastAsia"/>
          <w:szCs w:val="21"/>
        </w:rPr>
        <w:t xml:space="preserve">      年  月   日                                   年  月   日</w:t>
      </w:r>
      <w:r>
        <w:rPr>
          <w:rFonts w:hint="eastAsia" w:asciiTheme="minorEastAsia" w:hAnsiTheme="minorEastAsia"/>
          <w:szCs w:val="21"/>
        </w:rPr>
        <w:cr/>
      </w:r>
    </w:p>
    <w:p>
      <w:pPr>
        <w:spacing w:line="360" w:lineRule="auto"/>
        <w:rPr>
          <w:rFonts w:hint="eastAsia" w:asciiTheme="minorEastAsia" w:hAnsiTheme="minorEastAsia"/>
          <w:szCs w:val="21"/>
        </w:rPr>
      </w:pPr>
    </w:p>
    <w:p>
      <w:pPr>
        <w:spacing w:line="360" w:lineRule="auto"/>
        <w:rPr>
          <w:rFonts w:hint="eastAsia"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t>附2</w:t>
      </w:r>
    </w:p>
    <w:p>
      <w:pPr>
        <w:spacing w:line="360" w:lineRule="auto"/>
        <w:ind w:firstLine="422" w:firstLineChars="200"/>
        <w:jc w:val="center"/>
        <w:rPr>
          <w:rFonts w:asciiTheme="minorEastAsia" w:hAnsiTheme="minorEastAsia"/>
          <w:b/>
          <w:szCs w:val="21"/>
        </w:rPr>
      </w:pPr>
      <w:r>
        <w:rPr>
          <w:rFonts w:hint="eastAsia" w:asciiTheme="minorEastAsia" w:hAnsiTheme="minorEastAsia"/>
          <w:b/>
          <w:szCs w:val="21"/>
        </w:rPr>
        <w:t>国家外汇管理局××分局（外汇管理部）关于××公司开展</w:t>
      </w:r>
    </w:p>
    <w:p>
      <w:pPr>
        <w:spacing w:line="360" w:lineRule="auto"/>
        <w:ind w:firstLine="422" w:firstLineChars="200"/>
        <w:jc w:val="center"/>
        <w:rPr>
          <w:rFonts w:asciiTheme="minorEastAsia" w:hAnsiTheme="minorEastAsia"/>
          <w:b/>
          <w:szCs w:val="21"/>
        </w:rPr>
      </w:pPr>
      <w:r>
        <w:rPr>
          <w:rFonts w:hint="eastAsia" w:asciiTheme="minorEastAsia" w:hAnsiTheme="minorEastAsia"/>
          <w:b/>
          <w:szCs w:val="21"/>
        </w:rPr>
        <w:t>跨境资金集中运营业务的备案通知书（参考样式）</w:t>
      </w:r>
    </w:p>
    <w:p>
      <w:pPr>
        <w:spacing w:line="360" w:lineRule="auto"/>
        <w:ind w:firstLine="420" w:firstLineChars="200"/>
        <w:jc w:val="center"/>
        <w:rPr>
          <w:rFonts w:asciiTheme="minorEastAsia" w:hAnsiTheme="minorEastAsia"/>
          <w:szCs w:val="21"/>
        </w:rPr>
      </w:pPr>
      <w:r>
        <w:rPr>
          <w:rFonts w:asciiTheme="minorEastAsia" w:hAnsiTheme="minorEastAsia"/>
          <w:szCs w:val="21"/>
        </w:rPr>
        <w:t>××</w:t>
      </w:r>
      <w:r>
        <w:rPr>
          <w:rFonts w:hint="eastAsia" w:asciiTheme="minorEastAsia" w:hAnsiTheme="minorEastAsia"/>
          <w:szCs w:val="21"/>
        </w:rPr>
        <w:t>〔20</w:t>
      </w:r>
      <w:r>
        <w:rPr>
          <w:rFonts w:asciiTheme="minorEastAsia" w:hAnsiTheme="minorEastAsia"/>
          <w:szCs w:val="21"/>
        </w:rPr>
        <w:t>××</w:t>
      </w:r>
      <w:r>
        <w:rPr>
          <w:rFonts w:hint="eastAsia" w:asciiTheme="minorEastAsia" w:hAnsiTheme="minorEastAsia"/>
          <w:szCs w:val="21"/>
        </w:rPr>
        <w:t>〕</w:t>
      </w:r>
      <w:r>
        <w:rPr>
          <w:rFonts w:asciiTheme="minorEastAsia" w:hAnsiTheme="minorEastAsia"/>
          <w:szCs w:val="21"/>
        </w:rPr>
        <w:t>×</w:t>
      </w:r>
      <w:r>
        <w:rPr>
          <w:rFonts w:hint="eastAsia" w:asciiTheme="minorEastAsia" w:hAnsiTheme="minorEastAsia"/>
          <w:szCs w:val="21"/>
        </w:rPr>
        <w:t>号</w:t>
      </w:r>
      <w:r>
        <w:rPr>
          <w:rFonts w:asciiTheme="minorEastAsia" w:hAnsiTheme="minorEastAsia"/>
          <w:szCs w:val="21"/>
        </w:rPr>
        <w:cr/>
      </w:r>
    </w:p>
    <w:p>
      <w:pPr>
        <w:spacing w:line="360" w:lineRule="auto"/>
        <w:ind w:firstLine="420" w:firstLineChars="200"/>
        <w:rPr>
          <w:rFonts w:asciiTheme="minorEastAsia" w:hAnsiTheme="minorEastAsia"/>
          <w:szCs w:val="21"/>
        </w:rPr>
      </w:pPr>
      <w:r>
        <w:rPr>
          <w:rFonts w:hint="eastAsia" w:asciiTheme="minorEastAsia" w:hAnsiTheme="minorEastAsia"/>
          <w:szCs w:val="21"/>
        </w:rPr>
        <w:t>××公司：</w:t>
      </w:r>
    </w:p>
    <w:p>
      <w:pPr>
        <w:spacing w:line="360" w:lineRule="auto"/>
        <w:ind w:firstLine="420" w:firstLineChars="200"/>
        <w:rPr>
          <w:rFonts w:asciiTheme="minorEastAsia" w:hAnsiTheme="minorEastAsia"/>
          <w:szCs w:val="21"/>
        </w:rPr>
      </w:pPr>
      <w:r>
        <w:rPr>
          <w:rFonts w:hint="eastAsia" w:asciiTheme="minorEastAsia" w:hAnsiTheme="minorEastAsia"/>
          <w:szCs w:val="21"/>
        </w:rPr>
        <w:t>你公司《关于××公司开展跨国公司跨境资金集中运营业务的备案申请</w:t>
      </w:r>
      <w:r>
        <w:rPr>
          <w:rFonts w:hint="eastAsia" w:cs="MS Gothic" w:asciiTheme="minorEastAsia" w:hAnsiTheme="minorEastAsia"/>
          <w:szCs w:val="21"/>
        </w:rPr>
        <w:t>》</w:t>
      </w:r>
      <w:r>
        <w:rPr>
          <w:rFonts w:hint="eastAsia" w:asciiTheme="minorEastAsia" w:hAnsiTheme="minorEastAsia"/>
          <w:szCs w:val="21"/>
        </w:rPr>
        <w:t>（××字〔</w:t>
      </w:r>
      <w:r>
        <w:rPr>
          <w:rFonts w:asciiTheme="minorEastAsia" w:hAnsiTheme="minorEastAsia"/>
          <w:szCs w:val="21"/>
        </w:rPr>
        <w:t>××</w:t>
      </w:r>
      <w:r>
        <w:rPr>
          <w:rFonts w:hint="eastAsia" w:asciiTheme="minorEastAsia" w:hAnsiTheme="minorEastAsia"/>
          <w:szCs w:val="21"/>
        </w:rPr>
        <w:t>〕</w:t>
      </w:r>
      <w:r>
        <w:rPr>
          <w:rFonts w:asciiTheme="minorEastAsia" w:hAnsiTheme="minorEastAsia"/>
          <w:szCs w:val="21"/>
        </w:rPr>
        <w:t>××</w:t>
      </w:r>
      <w:r>
        <w:rPr>
          <w:rFonts w:hint="eastAsia" w:asciiTheme="minorEastAsia" w:hAnsiTheme="minorEastAsia"/>
          <w:szCs w:val="21"/>
        </w:rPr>
        <w:t>号）收悉。根据《国家外汇管理局关于印发&lt;跨国公司跨境资金集中运营管理规定&gt;的通知</w:t>
      </w:r>
      <w:r>
        <w:rPr>
          <w:rFonts w:hint="eastAsia" w:cs="MS Gothic" w:asciiTheme="minorEastAsia" w:hAnsiTheme="minorEastAsia"/>
          <w:szCs w:val="21"/>
        </w:rPr>
        <w:t>》</w:t>
      </w:r>
      <w:r>
        <w:rPr>
          <w:rFonts w:hint="eastAsia" w:asciiTheme="minorEastAsia" w:hAnsiTheme="minorEastAsia"/>
          <w:szCs w:val="21"/>
        </w:rPr>
        <w:t>（汇发〔20</w:t>
      </w:r>
      <w:r>
        <w:rPr>
          <w:rFonts w:asciiTheme="minorEastAsia" w:hAnsiTheme="minorEastAsia"/>
          <w:szCs w:val="21"/>
        </w:rPr>
        <w:t>××</w:t>
      </w:r>
      <w:r>
        <w:rPr>
          <w:rFonts w:hint="eastAsia" w:asciiTheme="minorEastAsia" w:hAnsiTheme="minorEastAsia"/>
          <w:szCs w:val="21"/>
        </w:rPr>
        <w:t>〕</w:t>
      </w:r>
      <w:r>
        <w:rPr>
          <w:rFonts w:asciiTheme="minorEastAsia" w:hAnsiTheme="minorEastAsia"/>
          <w:szCs w:val="21"/>
        </w:rPr>
        <w:t>×</w:t>
      </w:r>
      <w:r>
        <w:rPr>
          <w:rFonts w:hint="eastAsia" w:asciiTheme="minorEastAsia" w:hAnsiTheme="minorEastAsia"/>
          <w:szCs w:val="21"/>
        </w:rPr>
        <w:t>号）和××等规定，同意对××公司开展跨国公司跨境资金集中运营业务予以备案。</w:t>
      </w:r>
    </w:p>
    <w:p>
      <w:pPr>
        <w:spacing w:line="360" w:lineRule="auto"/>
        <w:ind w:firstLine="420" w:firstLineChars="200"/>
        <w:rPr>
          <w:rFonts w:asciiTheme="minorEastAsia" w:hAnsiTheme="minorEastAsia"/>
          <w:szCs w:val="21"/>
        </w:rPr>
      </w:pPr>
      <w:r>
        <w:rPr>
          <w:rFonts w:hint="eastAsia" w:asciiTheme="minorEastAsia" w:hAnsiTheme="minorEastAsia"/>
          <w:szCs w:val="21"/>
        </w:rPr>
        <w:t>同意你公司作为××公司（跨国公司）开展跨境资金集中运营业务的主办企业（含××家境内成员企业，××境外成员企业，名单见附件），开展外债额度集中、境外放款额度集中、经常项目资金集中收付、经常项目资金轧差净额结算业务。</w:t>
      </w:r>
    </w:p>
    <w:p>
      <w:pPr>
        <w:spacing w:line="360" w:lineRule="auto"/>
        <w:ind w:firstLine="420" w:firstLineChars="200"/>
        <w:rPr>
          <w:rFonts w:asciiTheme="minorEastAsia" w:hAnsiTheme="minorEastAsia"/>
          <w:szCs w:val="21"/>
        </w:rPr>
      </w:pPr>
      <w:r>
        <w:rPr>
          <w:rFonts w:hint="eastAsia" w:asciiTheme="minorEastAsia" w:hAnsiTheme="minorEastAsia"/>
          <w:szCs w:val="21"/>
        </w:rPr>
        <w:t>你公司可集中调配的外债额度××亿美元；可集中调配的境外放款额度××亿美元。</w:t>
      </w:r>
    </w:p>
    <w:p>
      <w:pPr>
        <w:spacing w:line="360" w:lineRule="auto"/>
        <w:ind w:firstLine="420" w:firstLineChars="200"/>
        <w:rPr>
          <w:rFonts w:asciiTheme="minorEastAsia" w:hAnsiTheme="minorEastAsia"/>
          <w:szCs w:val="21"/>
        </w:rPr>
      </w:pPr>
      <w:r>
        <w:rPr>
          <w:rFonts w:hint="eastAsia" w:asciiTheme="minorEastAsia" w:hAnsiTheme="minorEastAsia"/>
          <w:szCs w:val="21"/>
        </w:rPr>
        <w:t>（其他需备案或特别关注、说明的事项）。</w:t>
      </w:r>
    </w:p>
    <w:p>
      <w:pPr>
        <w:spacing w:line="360" w:lineRule="auto"/>
        <w:ind w:firstLine="420" w:firstLineChars="200"/>
        <w:rPr>
          <w:rFonts w:asciiTheme="minorEastAsia" w:hAnsiTheme="minorEastAsia"/>
          <w:szCs w:val="21"/>
        </w:rPr>
      </w:pPr>
    </w:p>
    <w:p>
      <w:pPr>
        <w:spacing w:line="360" w:lineRule="auto"/>
        <w:ind w:firstLine="420" w:firstLineChars="200"/>
        <w:jc w:val="center"/>
        <w:rPr>
          <w:rFonts w:asciiTheme="minorEastAsia" w:hAnsiTheme="minorEastAsia"/>
          <w:szCs w:val="21"/>
        </w:rPr>
      </w:pPr>
      <w:r>
        <w:rPr>
          <w:rFonts w:hint="eastAsia" w:asciiTheme="minorEastAsia" w:hAnsiTheme="minorEastAsia"/>
          <w:szCs w:val="21"/>
        </w:rPr>
        <w:t>国家外汇管理局××分局（外汇管理部）</w:t>
      </w:r>
      <w:r>
        <w:rPr>
          <w:rFonts w:hint="eastAsia" w:asciiTheme="minorEastAsia" w:hAnsiTheme="minorEastAsia"/>
          <w:szCs w:val="21"/>
        </w:rPr>
        <w:cr/>
      </w:r>
      <w:r>
        <w:rPr>
          <w:rFonts w:hint="eastAsia" w:asciiTheme="minorEastAsia" w:hAnsiTheme="minorEastAsia"/>
          <w:szCs w:val="21"/>
        </w:rPr>
        <w:t>××年××月××日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67FE"/>
    <w:rsid w:val="00225C87"/>
    <w:rsid w:val="00286F18"/>
    <w:rsid w:val="00295F81"/>
    <w:rsid w:val="002B67FE"/>
    <w:rsid w:val="003A2FEF"/>
    <w:rsid w:val="00661349"/>
    <w:rsid w:val="007F7774"/>
    <w:rsid w:val="00926DBF"/>
    <w:rsid w:val="00AA1A45"/>
    <w:rsid w:val="00BB18E8"/>
    <w:rsid w:val="00C36770"/>
    <w:rsid w:val="00D7158C"/>
    <w:rsid w:val="00F132C8"/>
    <w:rsid w:val="62B65135"/>
    <w:rsid w:val="6ED50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1538</Words>
  <Characters>8773</Characters>
  <Lines>73</Lines>
  <Paragraphs>20</Paragraphs>
  <TotalTime>42</TotalTime>
  <ScaleCrop>false</ScaleCrop>
  <LinksUpToDate>false</LinksUpToDate>
  <CharactersWithSpaces>10291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2019-05-14T08:25:00Z</dcterms:created>
  <dc:creator>le</dc:creator>
  <cp:lastModifiedBy>lenovo</cp:lastModifiedBy>
  <dcterms:modified xsi:type="dcterms:W3CDTF">2019-07-03T01:05:34Z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