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0"/>
          <w:szCs w:val="40"/>
        </w:rPr>
      </w:pPr>
      <w:r>
        <w:rPr>
          <w:rFonts w:hint="eastAsia" w:ascii="黑体" w:hAnsi="黑体" w:eastAsia="黑体" w:cs="黑体"/>
          <w:sz w:val="40"/>
          <w:szCs w:val="40"/>
        </w:rPr>
        <w:t>中国人民银行支付结算司关于支持</w:t>
      </w:r>
    </w:p>
    <w:p>
      <w:pPr>
        <w:jc w:val="center"/>
        <w:rPr>
          <w:rFonts w:hint="eastAsia" w:ascii="黑体" w:hAnsi="黑体" w:eastAsia="黑体" w:cs="黑体"/>
          <w:sz w:val="40"/>
          <w:szCs w:val="40"/>
        </w:rPr>
      </w:pPr>
      <w:r>
        <w:rPr>
          <w:rFonts w:hint="eastAsia" w:ascii="黑体" w:hAnsi="黑体" w:eastAsia="黑体" w:cs="黑体"/>
          <w:sz w:val="40"/>
          <w:szCs w:val="40"/>
        </w:rPr>
        <w:t>国家税务总局通过小额支付系统核验</w:t>
      </w:r>
    </w:p>
    <w:p>
      <w:pPr>
        <w:jc w:val="center"/>
        <w:rPr>
          <w:rFonts w:hint="eastAsia" w:ascii="黑体" w:hAnsi="黑体" w:eastAsia="黑体" w:cs="黑体"/>
          <w:sz w:val="40"/>
          <w:szCs w:val="40"/>
        </w:rPr>
      </w:pPr>
      <w:r>
        <w:rPr>
          <w:rFonts w:hint="eastAsia" w:ascii="黑体" w:hAnsi="黑体" w:eastAsia="黑体" w:cs="黑体"/>
          <w:sz w:val="40"/>
          <w:szCs w:val="40"/>
        </w:rPr>
        <w:t>个人银行账户信息有关事项的通知</w:t>
      </w:r>
    </w:p>
    <w:p>
      <w:pPr>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银支付〔2019〕88号</w:t>
      </w:r>
      <w:bookmarkStart w:id="0" w:name="_GoBack"/>
      <w:bookmarkEnd w:id="0"/>
    </w:p>
    <w:p>
      <w:pPr>
        <w:jc w:val="center"/>
        <w:rPr>
          <w:rFonts w:hint="eastAsia" w:asciiTheme="minorEastAsia" w:hAnsiTheme="minorEastAsia" w:eastAsiaTheme="minorEastAsia" w:cstheme="minorEastAsia"/>
          <w:sz w:val="30"/>
          <w:szCs w:val="30"/>
        </w:rPr>
      </w:pP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中国人民银行上海总部金融服务一部，各分行、营业管理部、省会（首府）城市中心支行支付结算处；各国有商业银行、股份制商业银行，中国邮政储蓄银行运营管理部：</w:t>
      </w:r>
    </w:p>
    <w:p>
      <w:pPr>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为配合《中华人民共和国个人所得税法实施条例》的实施，中国人民银行支付结算司决定支持国家税务总局通过小额支付系统向各银行核验纳税人账户信息，以判断纳税人填报的账户是否可用于办理退税。现就有关事项通知如下：</w:t>
      </w:r>
    </w:p>
    <w:p>
      <w:pPr>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一、同意国家税务总局以“无户直接参与者”身份接入小额支付系统，行号为906100000017，正式加入小额支付系统的日期为2019年6月17日。</w:t>
      </w:r>
    </w:p>
    <w:p>
      <w:pPr>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国家税务总局办理账户信息核验使用小额支付系统“批量客户账户信息查询报文（beps.394.001.01）”。国家税务总局提供的核验信息包括账户名称、账号、预留身份证件号码，开户银行反馈的信息包括申请核验的账户状态和账户类型。</w:t>
      </w:r>
    </w:p>
    <w:p>
      <w:pPr>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三、各银行机构收到国家税务总局发起的账户信息核验申请后，应使用“批量客户账户查询应答报文（beps.395.001.01）”，在5个系统工作日内反馈核验结果。（账户信息核验回复规则见附件）。</w:t>
      </w:r>
    </w:p>
    <w:p>
      <w:pPr>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四、对于国家税务总局通过小额支付系统发起的银行账户信息核验业务免收费。</w:t>
      </w:r>
    </w:p>
    <w:p>
      <w:pPr>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五、请中国人民银行上海总部金融服务一部，各分行、营业管理部、省会（首府）城市中心支行支付结算处速将本通知转发至辖区内地方性银行和外资银行（不开展个人业务的除外），督促并指导其按照上述要求做好业务、技术准备工作。</w:t>
      </w:r>
    </w:p>
    <w:p>
      <w:pPr>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附件：账户信息核验回复规则</w:t>
      </w:r>
    </w:p>
    <w:p>
      <w:pPr>
        <w:ind w:firstLine="600" w:firstLineChars="200"/>
        <w:rPr>
          <w:rFonts w:hint="eastAsia" w:asciiTheme="minorEastAsia" w:hAnsiTheme="minorEastAsia" w:eastAsiaTheme="minorEastAsia" w:cstheme="minorEastAsia"/>
          <w:sz w:val="30"/>
          <w:szCs w:val="30"/>
        </w:rPr>
      </w:pPr>
    </w:p>
    <w:p>
      <w:pPr>
        <w:jc w:val="righ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中国人民银行支付结算司</w:t>
      </w:r>
    </w:p>
    <w:p>
      <w:pPr>
        <w:jc w:val="righ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2019年5月10日</w:t>
      </w:r>
    </w:p>
    <w:p>
      <w:pPr>
        <w:rPr>
          <w:rFonts w:hint="eastAsia" w:asciiTheme="minorEastAsia" w:hAnsiTheme="minorEastAsia" w:eastAsiaTheme="minorEastAsia" w:cstheme="minorEastAsia"/>
          <w:sz w:val="30"/>
          <w:szCs w:val="30"/>
        </w:rPr>
      </w:pPr>
    </w:p>
    <w:p>
      <w:pPr>
        <w:rPr>
          <w:rFonts w:hint="eastAsia" w:ascii="仿宋_GB2312" w:hAnsi="仿宋_GB2312" w:eastAsia="仿宋_GB2312"/>
          <w:sz w:val="32"/>
        </w:rPr>
      </w:pPr>
    </w:p>
    <w:p>
      <w:pPr>
        <w:rPr>
          <w:rFonts w:hint="eastAsia" w:ascii="仿宋_GB2312" w:hAnsi="仿宋_GB2312" w:eastAsia="仿宋_GB2312"/>
          <w:sz w:val="32"/>
        </w:rPr>
      </w:pPr>
    </w:p>
    <w:p>
      <w:pPr>
        <w:rPr>
          <w:rFonts w:hint="eastAsia" w:ascii="黑体" w:hAnsi="黑体" w:eastAsia="黑体" w:cs="黑体"/>
          <w:sz w:val="32"/>
        </w:rPr>
      </w:pPr>
      <w:r>
        <w:rPr>
          <w:rFonts w:hint="eastAsia" w:ascii="黑体" w:hAnsi="黑体" w:eastAsia="黑体" w:cs="黑体"/>
          <w:sz w:val="32"/>
        </w:rPr>
        <w:t>附件</w:t>
      </w:r>
    </w:p>
    <w:p>
      <w:pPr>
        <w:rPr>
          <w:rFonts w:hint="eastAsia" w:ascii="仿宋_GB2312" w:hAnsi="仿宋_GB2312" w:eastAsia="仿宋_GB2312"/>
          <w:sz w:val="32"/>
        </w:rPr>
      </w:pPr>
    </w:p>
    <w:p>
      <w:pPr>
        <w:jc w:val="center"/>
        <w:rPr>
          <w:rFonts w:hint="eastAsia" w:ascii="黑体" w:hAnsi="黑体" w:eastAsia="黑体" w:cs="黑体"/>
          <w:sz w:val="44"/>
        </w:rPr>
      </w:pPr>
      <w:r>
        <w:rPr>
          <w:rFonts w:hint="eastAsia" w:ascii="黑体" w:hAnsi="黑体" w:eastAsia="黑体" w:cs="黑体"/>
          <w:sz w:val="44"/>
        </w:rPr>
        <w:t>账户信息核验回复规则</w:t>
      </w:r>
    </w:p>
    <w:p>
      <w:pPr>
        <w:jc w:val="center"/>
        <w:rPr>
          <w:rFonts w:hint="eastAsia" w:ascii="黑体" w:hAnsi="黑体" w:eastAsia="黑体" w:cs="黑体"/>
          <w:sz w:val="44"/>
        </w:rPr>
      </w:pPr>
    </w:p>
    <w:p>
      <w:pPr>
        <w:spacing w:line="560" w:lineRule="exact"/>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一、国家税务总局提供的要素均核验通过且账户状态正常，银行反馈业务状态“PR05”，并附账户状态应答代码“ASXX”,具体对应如下：</w:t>
      </w:r>
    </w:p>
    <w:tbl>
      <w:tblPr>
        <w:tblStyle w:val="4"/>
        <w:tblW w:w="8310" w:type="dxa"/>
        <w:tblInd w:w="2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375"/>
        <w:gridCol w:w="4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3375" w:type="dxa"/>
          </w:tcPr>
          <w:p>
            <w:pPr>
              <w:jc w:val="center"/>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账户状态应答代码</w:t>
            </w:r>
          </w:p>
        </w:tc>
        <w:tc>
          <w:tcPr>
            <w:tcW w:w="4935" w:type="dxa"/>
          </w:tcPr>
          <w:p>
            <w:pPr>
              <w:jc w:val="center"/>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适用场景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29" w:hRule="atLeast"/>
        </w:trPr>
        <w:tc>
          <w:tcPr>
            <w:tcW w:w="3375" w:type="dxa"/>
            <w:vAlign w:val="center"/>
          </w:tcPr>
          <w:p>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AS07</w:t>
            </w:r>
          </w:p>
        </w:tc>
        <w:tc>
          <w:tcPr>
            <w:tcW w:w="4935" w:type="dxa"/>
            <w:vAlign w:val="center"/>
          </w:tcPr>
          <w:p>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账户状态为已开户，且为Ⅰ类账户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82" w:hRule="atLeast"/>
        </w:trPr>
        <w:tc>
          <w:tcPr>
            <w:tcW w:w="3375" w:type="dxa"/>
            <w:vAlign w:val="center"/>
          </w:tcPr>
          <w:p>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AS08</w:t>
            </w:r>
          </w:p>
        </w:tc>
        <w:tc>
          <w:tcPr>
            <w:tcW w:w="4935" w:type="dxa"/>
            <w:vAlign w:val="center"/>
          </w:tcPr>
          <w:p>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账户状态为已开户，且为Ⅱ类账户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37" w:hRule="atLeast"/>
        </w:trPr>
        <w:tc>
          <w:tcPr>
            <w:tcW w:w="3375" w:type="dxa"/>
            <w:vAlign w:val="center"/>
          </w:tcPr>
          <w:p>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AS09</w:t>
            </w:r>
          </w:p>
        </w:tc>
        <w:tc>
          <w:tcPr>
            <w:tcW w:w="4935" w:type="dxa"/>
            <w:vAlign w:val="center"/>
          </w:tcPr>
          <w:p>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账户状态为已开户，且为Ⅲ类账户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92" w:hRule="atLeast"/>
        </w:trPr>
        <w:tc>
          <w:tcPr>
            <w:tcW w:w="3375" w:type="dxa"/>
            <w:vAlign w:val="center"/>
          </w:tcPr>
          <w:p>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AS11</w:t>
            </w:r>
          </w:p>
        </w:tc>
        <w:tc>
          <w:tcPr>
            <w:tcW w:w="4935" w:type="dxa"/>
            <w:vAlign w:val="center"/>
          </w:tcPr>
          <w:p>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账户状态为已开户，且为信用卡账户</w:t>
            </w:r>
          </w:p>
        </w:tc>
      </w:tr>
    </w:tbl>
    <w:p>
      <w:pPr>
        <w:numPr>
          <w:ilvl w:val="0"/>
          <w:numId w:val="1"/>
        </w:numPr>
        <w:spacing w:line="560" w:lineRule="exact"/>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国家税务总局提供的一个或多个要素核验未通过或账户状态异常，银行反馈业务状态“PR09”，并附对应业务拒绝代码“RJXX”,不回复账户状态。</w:t>
      </w:r>
    </w:p>
    <w:p>
      <w:pPr>
        <w:spacing w:line="560" w:lineRule="exact"/>
        <w:ind w:left="420" w:left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xml:space="preserve"> 业务拒绝代码具体适用场景参考下表：</w:t>
      </w:r>
    </w:p>
    <w:tbl>
      <w:tblPr>
        <w:tblStyle w:val="4"/>
        <w:tblW w:w="9090" w:type="dxa"/>
        <w:tblInd w:w="2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520"/>
        <w:gridCol w:w="6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2520" w:type="dxa"/>
          </w:tcPr>
          <w:p>
            <w:pPr>
              <w:jc w:val="center"/>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业务拒绝代码</w:t>
            </w:r>
          </w:p>
        </w:tc>
        <w:tc>
          <w:tcPr>
            <w:tcW w:w="6570" w:type="dxa"/>
          </w:tcPr>
          <w:p>
            <w:pPr>
              <w:jc w:val="center"/>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适用场景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37" w:hRule="atLeast"/>
        </w:trPr>
        <w:tc>
          <w:tcPr>
            <w:tcW w:w="2520" w:type="dxa"/>
            <w:vAlign w:val="center"/>
          </w:tcPr>
          <w:p>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RJ01</w:t>
            </w:r>
          </w:p>
        </w:tc>
        <w:tc>
          <w:tcPr>
            <w:tcW w:w="6570" w:type="dxa"/>
            <w:vAlign w:val="center"/>
          </w:tcPr>
          <w:p>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账号不存在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42" w:hRule="atLeast"/>
        </w:trPr>
        <w:tc>
          <w:tcPr>
            <w:tcW w:w="2520" w:type="dxa"/>
            <w:vAlign w:val="center"/>
          </w:tcPr>
          <w:p>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RJ02</w:t>
            </w:r>
          </w:p>
        </w:tc>
        <w:tc>
          <w:tcPr>
            <w:tcW w:w="6570" w:type="dxa"/>
            <w:vAlign w:val="center"/>
          </w:tcPr>
          <w:p>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账号存在，户名有误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27" w:hRule="atLeast"/>
        </w:trPr>
        <w:tc>
          <w:tcPr>
            <w:tcW w:w="2520" w:type="dxa"/>
            <w:vAlign w:val="center"/>
          </w:tcPr>
          <w:p>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RJ08</w:t>
            </w:r>
          </w:p>
        </w:tc>
        <w:tc>
          <w:tcPr>
            <w:tcW w:w="6570" w:type="dxa"/>
            <w:vAlign w:val="center"/>
          </w:tcPr>
          <w:p>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账号、户名一致，账户类型不适用（如：非人民币活期账户）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31" w:hRule="atLeast"/>
        </w:trPr>
        <w:tc>
          <w:tcPr>
            <w:tcW w:w="2520" w:type="dxa"/>
            <w:vAlign w:val="center"/>
          </w:tcPr>
          <w:p>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RJ11</w:t>
            </w:r>
          </w:p>
        </w:tc>
        <w:tc>
          <w:tcPr>
            <w:tcW w:w="6570" w:type="dxa"/>
            <w:vAlign w:val="center"/>
          </w:tcPr>
          <w:p>
            <w:pPr>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账号、户名一致，账户状态异常，应填写异常信息，包括：AS00待开户、AS02待销户、AS03已销户、AS04借记控制、AS05贷记控制、AS06冻结。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89" w:hRule="atLeast"/>
        </w:trPr>
        <w:tc>
          <w:tcPr>
            <w:tcW w:w="2520" w:type="dxa"/>
            <w:vAlign w:val="center"/>
          </w:tcPr>
          <w:p>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RJ12</w:t>
            </w:r>
          </w:p>
        </w:tc>
        <w:tc>
          <w:tcPr>
            <w:tcW w:w="6570" w:type="dxa"/>
            <w:vAlign w:val="center"/>
          </w:tcPr>
          <w:p>
            <w:pPr>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账号、户名一致，身份信息核验失败，应填写失败原因，包括：CV01(身份信息未匹配成功)、CV02(身份信息未填写)。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32" w:hRule="atLeast"/>
        </w:trPr>
        <w:tc>
          <w:tcPr>
            <w:tcW w:w="2520" w:type="dxa"/>
            <w:vAlign w:val="center"/>
          </w:tcPr>
          <w:p>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RJ90</w:t>
            </w:r>
          </w:p>
        </w:tc>
        <w:tc>
          <w:tcPr>
            <w:tcW w:w="6570" w:type="dxa"/>
            <w:vAlign w:val="center"/>
          </w:tcPr>
          <w:p>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不属于以上任意异常场景时填写</w:t>
            </w:r>
          </w:p>
        </w:tc>
      </w:tr>
    </w:tbl>
    <w:p>
      <w:pPr>
        <w:ind w:left="420" w:leftChars="200"/>
        <w:jc w:val="left"/>
        <w:rPr>
          <w:rFonts w:hint="eastAsia" w:asciiTheme="minorEastAsia" w:hAnsiTheme="minorEastAsia" w:eastAsiaTheme="minorEastAsia" w:cstheme="minorEastAsia"/>
          <w:sz w:val="24"/>
        </w:rPr>
      </w:pPr>
    </w:p>
    <w:p>
      <w:pPr>
        <w:ind w:left="420" w:left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注：当出现两种或以上异常场景时，选择一种业务拒绝代码填写即可。</w:t>
      </w:r>
    </w:p>
    <w:p>
      <w:pPr>
        <w:rPr>
          <w:rFonts w:hint="eastAsia" w:asciiTheme="minorEastAsia" w:hAnsiTheme="minorEastAsia" w:eastAsiaTheme="minorEastAsia" w:cstheme="minor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0000005"/>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D2D77"/>
    <w:rsid w:val="006D2D77"/>
    <w:rsid w:val="008A3676"/>
    <w:rsid w:val="2E742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196</Words>
  <Characters>1119</Characters>
  <Lines>9</Lines>
  <Paragraphs>2</Paragraphs>
  <TotalTime>1</TotalTime>
  <ScaleCrop>false</ScaleCrop>
  <LinksUpToDate>false</LinksUpToDate>
  <CharactersWithSpaces>1313</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2019-06-27T07:10:00Z</dcterms:created>
  <dc:creator>le</dc:creator>
  <cp:lastModifiedBy>lenovo</cp:lastModifiedBy>
  <dcterms:modified xsi:type="dcterms:W3CDTF">2019-07-03T01:11:38Z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