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0"/>
          <w:szCs w:val="40"/>
        </w:rPr>
      </w:pPr>
    </w:p>
    <w:p>
      <w:pPr>
        <w:jc w:val="center"/>
        <w:rPr>
          <w:rFonts w:hint="eastAsia" w:ascii="黑体" w:hAnsi="黑体" w:eastAsia="黑体" w:cs="黑体"/>
          <w:b/>
          <w:bCs/>
          <w:sz w:val="40"/>
          <w:szCs w:val="40"/>
        </w:rPr>
      </w:pPr>
      <w:r>
        <w:rPr>
          <w:rFonts w:hint="eastAsia" w:ascii="黑体" w:hAnsi="黑体" w:eastAsia="黑体" w:cs="黑体"/>
          <w:b/>
          <w:bCs/>
          <w:sz w:val="40"/>
          <w:szCs w:val="40"/>
        </w:rPr>
        <w:t>中国人民银行支付结算司关于加强个人Ⅱ、Ⅲ类银行结算账户风险防范有关事项的通知</w:t>
      </w:r>
    </w:p>
    <w:p>
      <w:pPr>
        <w:jc w:val="center"/>
        <w:rPr>
          <w:rFonts w:hint="eastAsia" w:ascii="黑体" w:hAnsi="黑体" w:eastAsia="黑体" w:cs="黑体"/>
          <w:b/>
          <w:bCs/>
          <w:sz w:val="40"/>
          <w:szCs w:val="40"/>
        </w:rPr>
      </w:pPr>
      <w:r>
        <w:rPr>
          <w:rFonts w:hint="eastAsia" w:ascii="黑体" w:hAnsi="黑体" w:eastAsia="黑体" w:cs="黑体"/>
          <w:b/>
          <w:bCs/>
          <w:sz w:val="40"/>
          <w:szCs w:val="40"/>
        </w:rPr>
        <w:t>银支付〔2019〕55号</w:t>
      </w:r>
    </w:p>
    <w:p>
      <w:pPr>
        <w:pStyle w:val="2"/>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上海总部，各分行、营业管理部，各省会（首府）城市中心支行，深圳市中心支行支付结算处；国家开发银行，各政策性银行、国有商业银行、股份制商业银行，中国邮政储蓄银行运营管理部（个人金融部、网络金融部）；清算总中心，中国银联股份有限公司、网联清算有限公司、农信银资金清算中心、城银清算服务有限责任公司：</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为进一步加强个人Ⅱ、Ⅲ类银行结算账户（以下简称Ⅱ、Ⅲ类户）风险防范，保障银行账户体系安全和客户合法权益，现就有关事项通知如下：</w:t>
      </w:r>
    </w:p>
    <w:p>
      <w:pPr>
        <w:ind w:firstLine="602" w:firstLineChars="200"/>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一、全面开展风险排查</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银行业金融机构（以下简称银行）应于2019年4月15日前对网上银行、手机银行、直销银行、手机app等电子渠道办理Ⅱ、Ⅲ类户业务的相关系统及后台系统开展全面自查，重点排查是否采取有效的技术手段保证前后端系统之间通信数据的机密性、完整性和可靠性，业务逻辑层面是否具备足够强度的安全验证和反欺骗能力，对于接收到的账户信息验证交易是否严格按照清算机构技术规范准确核实相关信息并正确反馈验证结果，相关系统业务调整或功能上线前是否进行充分的回归测试，对发现的问题应立即整改。</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行应于2019年4月20日前将排查结果报告人民银行及其分支机构（其中，国家开发银行，各政策性银行、国有商业银行、股份制商业银行向人民银行支付结算司报告，其他银行向法人所在地人民银行分支机构支付结算部门报告，下同）。人民银行分支机构支付结算部门应对存在风险隐患的银行采取责令整改，暂停Ⅱ、Ⅲ类户业务等监管措施。</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银行应参照Ⅱ、Ⅲ类户业务可疑风险特征（详见附件1）于2019年4月15日前对存量Ⅱ、Ⅲ类户全面开展风险自查，发现风险情形的应立即处置，并于2019年4月20日前将排查结果报告人民银行及其分支机构（报告模板详见附件2）。</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人民银行上海总部，各分行、营业管理部，各省会（首府）城市中心支行，深圳市中心支行支付结算处应于2019年4月25日前汇总辖区内风险排查情况报送支付结算司。</w:t>
      </w:r>
    </w:p>
    <w:p>
      <w:pPr>
        <w:ind w:firstLine="602" w:firstLineChars="200"/>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二、健全风险监测和处置机制</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银行应按照《规范Ⅱ、Ⅲ类户开立管理建全风险防控机制》（支付业务风险提示2018年第3期）要求，建立健全Ⅱ、Ⅲ类户开户和交易风险监测机制，参照Ⅱ、Ⅲ类户业务可疑风险特征完善风险监测模型，重点防范并及时阻断集中、批量开立Ⅱ、Ⅲ类户的异常情形，持续开展风险监测。应建立账户信息跨行验证交易监控机制，重点针对验证交易突增且高度集中于单一发起机构、单一账户频繁发生验证交易等异常情形开展监测和预警。</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银行和清算机构应指定专人负责Ⅱ、Ⅲ类户风险防控工作，于2019年3月22日前将名单报送人民银行及其分支机构。银行应对新开立Ⅱ、Ⅲ类户定期人工筛查、不定期人工抽检，每日对本行个人银行结算账户风险情况开展监测分析，及时发现和核实Ⅱ、Ⅲ类户数量异常增长、账户存在可疑特征或留存信息不合理等异常情形。银行应准确填写《个人银行结算账户开户数量情况监测分析统计表》（见附件3），按要求报送人民银行及其分支机构。</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银行监测发现Ⅱ、Ⅲ类户风险情形的，应立即组织排查原因、关闭风险账户并报告人民银行及其分支机构，并于发现之日起30日内暂停办理Ⅱ、Ⅲ类户开户业务，30日后仍未完成风险处置和漏洞整改的，应继续暂停办理Ⅱ、Ⅲ类户开户业务直至整改完成。银行应在2日内提取分析相关业务数据和交易报文信息并通报涉及银行、支付机构和清算机构。对于疑似存在不法行为的，银行应及时报案。</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六）清算机构应对银行账户信息跨行验证交易持续开展监测和预警分析，发现Ⅱ、Ⅲ类户风险情形时立即向相关银行发送风险提示并抄报人民银行及其分支机构。银行应在收到风险提示后立即组织排查，在2日内向清算机构和人民银行及其分支机构报告排查结果。</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（七）人民银行分支机构收到Ⅱ、Ⅲ类户风险报告的，要立即开展核实及处置工作，并逐级报告人民银行支付结算司。</w:t>
      </w:r>
    </w:p>
    <w:p>
      <w:pPr>
        <w:ind w:firstLine="602" w:firstLineChars="200"/>
        <w:rPr>
          <w:rFonts w:hint="eastAsia" w:asciiTheme="minorEastAsia" w:hAnsiTheme="minorEastAsia" w:eastAsiaTheme="minorEastAsia" w:cstheme="minorEastAsia"/>
          <w:b/>
          <w:bCs/>
          <w:sz w:val="30"/>
          <w:szCs w:val="30"/>
        </w:rPr>
      </w:pPr>
      <w:r>
        <w:rPr>
          <w:rFonts w:hint="eastAsia" w:asciiTheme="minorEastAsia" w:hAnsiTheme="minorEastAsia" w:eastAsiaTheme="minorEastAsia" w:cstheme="minorEastAsia"/>
          <w:b/>
          <w:bCs/>
          <w:sz w:val="30"/>
          <w:szCs w:val="30"/>
        </w:rPr>
        <w:t>三、强化账户业务监督管理</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八）客户申请开立Ⅱ、Ⅲ类户并上传身份证影像时，银行应比对身份证照片与联网核查系统反馈照片的一致性，对联网核查未反馈客户照片或者反馈信息不一致的，应要求客户出示有效辅助证件，经人工审核后再办理开户。银行应识别身份证影像记载信息，并将性别、出生</w:t>
      </w:r>
      <w:bookmarkStart w:id="0" w:name="_GoBack"/>
      <w:bookmarkEnd w:id="0"/>
      <w:r>
        <w:rPr>
          <w:rFonts w:hint="eastAsia" w:asciiTheme="minorEastAsia" w:hAnsiTheme="minorEastAsia" w:eastAsiaTheme="minorEastAsia" w:cstheme="minorEastAsia"/>
          <w:sz w:val="30"/>
          <w:szCs w:val="30"/>
        </w:rPr>
        <w:t>日期等信息与身份证号码、照片等进行核对。</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九）通过电子渠道开立后未发生入金的Ⅱ、Ⅲ类户，处于未激活、只收不付、不收不付、已冻结、已注销等非正常状态的银行账户及信用卡附属卡，不得作为其他银行账户的绑定账户。银行不得为上述账户提供账户信息验证服务。</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（十）银行在网上银行、手机银行、直销银行、手机app等电子渠道办理Ⅱ、Ⅲ类户业务的相关系统投产或变更之前，未按有关规定向银保监会及其派出机构报告的，不得通过该系统办理</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Ⅱ、Ⅲ类户相关业务。</w:t>
      </w: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（十一）出现Ⅱ、Ⅲ类户风险情形的银行，应切实维护客户合法权益，稳妥做好客户解释说明和投诉处置工作。应密切关注舆情信息并及时应对。</w:t>
      </w:r>
    </w:p>
    <w:p>
      <w:pPr>
        <w:numPr>
          <w:ilvl w:val="0"/>
          <w:numId w:val="1"/>
        </w:num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人民银行分支机构应将Ⅱ、Ⅲ类户业务作为支付结算执法检查工作重点，对发生风险情形的银行，应采取约见相关负责人诫勉谈话、通报批评、列入重点检查对象等措施，并督促银行对相关责任人依法严肃追究责任。对发生风险情形但隐瞒不报、迟报的银行，应依法从重处罚。同时应加强舆情监测和应对，避免形成负面舆情。</w:t>
      </w:r>
    </w:p>
    <w:p>
      <w:pPr>
        <w:numPr>
          <w:numId w:val="0"/>
        </w:num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请人民银行上海总部，各分行、营业管理部，各省会（首府）城市中心支行，深圳市中心支行支付结算处及时将本通知转发至辖区内人民银行分支机构和银行。各单位在执行中如遇问题，请及时向人民银行支付结算司报告。</w:t>
      </w:r>
    </w:p>
    <w:p>
      <w:pPr>
        <w:ind w:firstLine="600" w:firstLineChars="200"/>
        <w:rPr>
          <w:rFonts w:hint="eastAsia"/>
        </w:rPr>
      </w:pPr>
      <w:r>
        <w:rPr>
          <w:rFonts w:hint="eastAsia" w:asciiTheme="minorEastAsia" w:hAnsiTheme="minorEastAsia" w:eastAsiaTheme="minorEastAsia" w:cstheme="minorEastAsia"/>
          <w:sz w:val="30"/>
          <w:szCs w:val="30"/>
        </w:rPr>
        <w:t>联系人及联系方式：张笑尘，010-66195583</w:t>
      </w:r>
    </w:p>
    <w:p>
      <w:pPr>
        <w:ind w:firstLine="600" w:firstLineChars="200"/>
        <w:rPr>
          <w:rFonts w:hint="eastAsia" w:asciiTheme="minorEastAsia" w:hAnsiTheme="minorEastAsia" w:eastAsiaTheme="minorEastAsia" w:cstheme="minorEastAsia"/>
          <w:sz w:val="30"/>
          <w:szCs w:val="30"/>
        </w:rPr>
      </w:pPr>
    </w:p>
    <w:p>
      <w:pPr>
        <w:ind w:firstLine="600" w:firstLineChars="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附件：1．Ⅱ、Ⅲ类户业务可疑风险特征</w:t>
      </w:r>
    </w:p>
    <w:p>
      <w:pPr>
        <w:ind w:left="1791" w:leftChars="710" w:hanging="300" w:hangingChars="1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2．XX银行关于个人Ⅱ、Ⅲ类银行结算账户风险排查情况的报告</w:t>
      </w:r>
    </w:p>
    <w:p>
      <w:pPr>
        <w:ind w:firstLine="1500" w:firstLineChars="5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3．个人银行结算账户开户数量情况监测分析统计表</w:t>
      </w:r>
    </w:p>
    <w:p>
      <w:pPr>
        <w:pStyle w:val="2"/>
        <w:rPr>
          <w:rFonts w:hint="eastAsia" w:asciiTheme="minorEastAsia" w:hAnsiTheme="minorEastAsia" w:eastAsiaTheme="minorEastAsia" w:cstheme="minorEastAsia"/>
          <w:sz w:val="30"/>
          <w:szCs w:val="30"/>
        </w:rPr>
      </w:pPr>
    </w:p>
    <w:p>
      <w:pPr>
        <w:pStyle w:val="2"/>
        <w:rPr>
          <w:rFonts w:hint="eastAsia" w:asciiTheme="minorEastAsia" w:hAnsiTheme="minorEastAsia" w:eastAsiaTheme="minorEastAsia" w:cstheme="minorEastAsia"/>
          <w:sz w:val="30"/>
          <w:szCs w:val="30"/>
        </w:rPr>
      </w:pPr>
    </w:p>
    <w:p>
      <w:pPr>
        <w:ind w:firstLine="600" w:firstLineChars="200"/>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中国人民银行支付结算司</w:t>
      </w:r>
    </w:p>
    <w:p>
      <w:pPr>
        <w:ind w:firstLine="600" w:firstLineChars="200"/>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2019年3月19日</w:t>
      </w:r>
    </w:p>
    <w:p>
      <w:pPr>
        <w:ind w:firstLine="600" w:firstLineChars="200"/>
        <w:rPr>
          <w:rFonts w:hint="eastAsia" w:asciiTheme="minorEastAsia" w:hAnsiTheme="minorEastAsia" w:eastAsiaTheme="minorEastAsia" w:cstheme="minorEastAsia"/>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黑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290AFA"/>
    <w:multiLevelType w:val="singleLevel"/>
    <w:tmpl w:val="32290AFA"/>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5D4B5D"/>
    <w:rsid w:val="250B1EA0"/>
    <w:rsid w:val="3D4E7365"/>
    <w:rsid w:val="478E55DA"/>
    <w:rsid w:val="4A5D4B5D"/>
    <w:rsid w:val="6C06439C"/>
    <w:rsid w:val="7A36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3">
    <w:name w:val="heading 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2021-07-15T01:43:00Z</dcterms:created>
  <dc:creator>Administrator</dc:creator>
  <cp:lastModifiedBy>Administrator</cp:lastModifiedBy>
  <dcterms:modified xsi:type="dcterms:W3CDTF">2021-07-15T01:48:05Z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