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0"/>
          <w:szCs w:val="40"/>
        </w:rPr>
      </w:pPr>
    </w:p>
    <w:p>
      <w:pPr>
        <w:jc w:val="center"/>
        <w:rPr>
          <w:rFonts w:hint="eastAsia" w:ascii="黑体" w:hAnsi="黑体" w:eastAsia="黑体" w:cs="黑体"/>
          <w:b/>
          <w:bCs/>
          <w:sz w:val="40"/>
          <w:szCs w:val="40"/>
        </w:rPr>
      </w:pPr>
      <w:r>
        <w:rPr>
          <w:rFonts w:hint="eastAsia" w:ascii="黑体" w:hAnsi="黑体" w:eastAsia="黑体" w:cs="黑体"/>
          <w:b/>
          <w:bCs/>
          <w:sz w:val="40"/>
          <w:szCs w:val="40"/>
        </w:rPr>
        <w:t>中国人民银行支付结算司关于进一步加强支付清算系统业务连续性管理工作有关事项的通知</w:t>
      </w:r>
    </w:p>
    <w:p>
      <w:pPr>
        <w:jc w:val="center"/>
        <w:rPr>
          <w:rFonts w:hint="eastAsia" w:ascii="黑体" w:hAnsi="黑体" w:eastAsia="黑体" w:cs="黑体"/>
          <w:b/>
          <w:bCs/>
          <w:sz w:val="40"/>
          <w:szCs w:val="40"/>
        </w:rPr>
      </w:pPr>
      <w:r>
        <w:rPr>
          <w:rFonts w:hint="eastAsia" w:ascii="黑体" w:hAnsi="黑体" w:eastAsia="黑体" w:cs="黑体"/>
          <w:b/>
          <w:bCs/>
          <w:sz w:val="40"/>
          <w:szCs w:val="40"/>
        </w:rPr>
        <w:t>银支付〔2020〕111号</w:t>
      </w:r>
    </w:p>
    <w:p>
      <w:pPr>
        <w:pStyle w:val="2"/>
        <w:rPr>
          <w:rFonts w:hint="eastAsia"/>
        </w:rPr>
      </w:pPr>
    </w:p>
    <w:p>
      <w:pPr>
        <w:rPr>
          <w:rFonts w:hint="eastAsia"/>
          <w:sz w:val="30"/>
          <w:szCs w:val="30"/>
        </w:rPr>
      </w:pPr>
      <w:r>
        <w:rPr>
          <w:rFonts w:hint="eastAsia"/>
          <w:sz w:val="30"/>
          <w:szCs w:val="30"/>
        </w:rPr>
        <w:t>中国人民银行上海总部金融服务一部,各分行、营业管理部、省会（首府）城市中心支行支付结算处,各副省级城市中心支行支付结算处（会计财务处）;清算总中心、中国银联股份有限公司、农信银资金清算中心、跨境银行间支付清算有限责任公司、网联清算有限公司、城银清算服务有限责任公司：</w:t>
      </w:r>
    </w:p>
    <w:p>
      <w:pPr>
        <w:ind w:firstLine="600" w:firstLineChars="200"/>
        <w:rPr>
          <w:rFonts w:hint="eastAsia"/>
          <w:sz w:val="30"/>
          <w:szCs w:val="30"/>
        </w:rPr>
      </w:pPr>
      <w:r>
        <w:rPr>
          <w:rFonts w:hint="eastAsia"/>
          <w:sz w:val="30"/>
          <w:szCs w:val="30"/>
        </w:rPr>
        <w:t>为进一步加强支付清算系统业务连续性管理工作，切实维护支付清算系统的安全稳定运行，现就有关事项通知如下：</w:t>
      </w:r>
    </w:p>
    <w:p>
      <w:pPr>
        <w:ind w:firstLine="602" w:firstLineChars="200"/>
        <w:rPr>
          <w:rFonts w:hint="eastAsia"/>
          <w:b/>
          <w:bCs/>
          <w:sz w:val="30"/>
          <w:szCs w:val="30"/>
        </w:rPr>
      </w:pPr>
      <w:r>
        <w:rPr>
          <w:rFonts w:hint="eastAsia"/>
          <w:b/>
          <w:bCs/>
          <w:sz w:val="30"/>
          <w:szCs w:val="30"/>
        </w:rPr>
        <w:t>一、明确管理职责</w:t>
      </w:r>
    </w:p>
    <w:p>
      <w:pPr>
        <w:ind w:firstLine="600" w:firstLineChars="200"/>
        <w:rPr>
          <w:rFonts w:hint="eastAsia"/>
          <w:sz w:val="30"/>
          <w:szCs w:val="30"/>
        </w:rPr>
      </w:pPr>
      <w:r>
        <w:rPr>
          <w:rFonts w:hint="eastAsia"/>
          <w:sz w:val="30"/>
          <w:szCs w:val="30"/>
        </w:rPr>
        <w:t>（一）人民银行分支行支付结算部门作为辖区支付清算系统业务连续性管理的直接监管主体，要切实履行属地监管职责，指导辖区银行机构和非银行支付机构（以下简称支付机构）强化支付清算系统应急管理，全面提升辖区支付清算系统业务连续性水平。要压实辖区银行机构和支付机构的业务连续性管理责任，对频繁出现问题且整改不力或问题严重的，要采取约谈、通报批评等措施，切实推动其优化系统性能。</w:t>
      </w:r>
    </w:p>
    <w:p>
      <w:pPr>
        <w:ind w:firstLine="600" w:firstLineChars="200"/>
        <w:rPr>
          <w:rFonts w:hint="eastAsia"/>
          <w:sz w:val="30"/>
          <w:szCs w:val="30"/>
        </w:rPr>
      </w:pPr>
      <w:r>
        <w:rPr>
          <w:rFonts w:hint="eastAsia"/>
          <w:sz w:val="30"/>
          <w:szCs w:val="30"/>
        </w:rPr>
        <w:t>人民银行分支行支付结算部门要设置专岗、指定专人负责支付清算系统业务连续性管理，相关人员设置要互相备份，确保随时到岗。支付结算司将业务连续性管理相关情况纳入分支行支付结算专业业绩考核，并将对辖区内多次发生业务连续性风险事件的进行约谈或通报批评，对辖区内未发生业务连续性风险事件的给予适当奖励。</w:t>
      </w:r>
    </w:p>
    <w:p>
      <w:pPr>
        <w:ind w:firstLine="600" w:firstLineChars="200"/>
        <w:rPr>
          <w:rFonts w:hint="eastAsia"/>
          <w:sz w:val="30"/>
          <w:szCs w:val="30"/>
        </w:rPr>
      </w:pPr>
      <w:r>
        <w:rPr>
          <w:rFonts w:hint="eastAsia"/>
          <w:sz w:val="30"/>
          <w:szCs w:val="30"/>
        </w:rPr>
        <w:t>（二）各清算机构是相关支付清算系统业务连续性管理的直接责任主体，要压实一线人员和主管部门业务连续性管理责任，明确相关部门职责及具体负责人。发生业务连续性风险事件的，各清算机构应严格按照业务连续性管理的责任追究制度追究相关人员责任，并将问责情况及时报送支付结算司。</w:t>
      </w:r>
    </w:p>
    <w:p>
      <w:pPr>
        <w:ind w:firstLine="600" w:firstLineChars="200"/>
        <w:rPr>
          <w:rFonts w:hint="eastAsia"/>
          <w:sz w:val="30"/>
          <w:szCs w:val="30"/>
        </w:rPr>
      </w:pPr>
      <w:r>
        <w:rPr>
          <w:rFonts w:hint="eastAsia"/>
          <w:sz w:val="30"/>
          <w:szCs w:val="30"/>
        </w:rPr>
        <w:t>（三）各单位应于9月25日前将支付清算系统业务连续性管理责任分工清单及责任人名单报送支付结算司。</w:t>
      </w:r>
    </w:p>
    <w:p>
      <w:pPr>
        <w:ind w:firstLine="602" w:firstLineChars="200"/>
        <w:rPr>
          <w:rFonts w:hint="eastAsia"/>
          <w:b/>
          <w:bCs/>
          <w:sz w:val="30"/>
          <w:szCs w:val="30"/>
        </w:rPr>
      </w:pPr>
      <w:r>
        <w:rPr>
          <w:rFonts w:hint="eastAsia"/>
          <w:b/>
          <w:bCs/>
          <w:sz w:val="30"/>
          <w:szCs w:val="30"/>
        </w:rPr>
        <w:t>二、全面排查风险</w:t>
      </w:r>
    </w:p>
    <w:p>
      <w:pPr>
        <w:ind w:firstLine="600" w:firstLineChars="200"/>
        <w:rPr>
          <w:rFonts w:hint="eastAsia"/>
          <w:sz w:val="30"/>
          <w:szCs w:val="30"/>
        </w:rPr>
      </w:pPr>
      <w:r>
        <w:rPr>
          <w:rFonts w:hint="eastAsia"/>
          <w:sz w:val="30"/>
          <w:szCs w:val="30"/>
        </w:rPr>
        <w:t>（一）风险排查整改是支付清算系统业务连续性管理的重要组成部分。各银行机构、支付机构及清算机构要建立健全业务连续性风险排查制度，从系统应用软件、机房硬件设备、运行环境、网络安全等方面做好业务连续性风险的排查整改，并将其纳入日常工作，实现风险排查整改的制度化和常态化。</w:t>
      </w:r>
    </w:p>
    <w:p>
      <w:pPr>
        <w:ind w:firstLine="600" w:firstLineChars="200"/>
        <w:rPr>
          <w:rFonts w:hint="eastAsia"/>
          <w:sz w:val="30"/>
          <w:szCs w:val="30"/>
        </w:rPr>
      </w:pPr>
      <w:r>
        <w:rPr>
          <w:rFonts w:hint="eastAsia"/>
          <w:sz w:val="30"/>
          <w:szCs w:val="30"/>
        </w:rPr>
        <w:t>（二）人民银行分支行支付结算部门应每季度组织摸排本部门、辖区银行机构和支付机构的业务连续性管理情况，指导辖区银行机构和支付机构做好业务连续性风险的排查整改，督促其采取措施持续优化系统性能、改善运维环境、提升运维水平。</w:t>
      </w:r>
    </w:p>
    <w:p>
      <w:pPr>
        <w:ind w:firstLine="600" w:firstLineChars="200"/>
        <w:rPr>
          <w:rFonts w:hint="eastAsia"/>
          <w:sz w:val="30"/>
          <w:szCs w:val="30"/>
        </w:rPr>
      </w:pPr>
      <w:r>
        <w:rPr>
          <w:rFonts w:hint="eastAsia"/>
          <w:sz w:val="30"/>
          <w:szCs w:val="30"/>
        </w:rPr>
        <w:t>（三）清算机构应每季度开展风险排查，提升自动化监控和风险预警能力。加强对问题频发、多发成员机构的日常监测，督促发生安全生产事件的成员机构及时整改、补足短板，跟踪整改措施的落地情况以及实施效果，指导其他成员机构举一反三、进行自查，提高支付清算全链路业务连续性水平。监测发现成员机构存在问题的，各清算机构要及时向机构所在地人民银行分支行支付结算部门通报情况，共同督促其做好整改工作。</w:t>
      </w:r>
    </w:p>
    <w:p>
      <w:pPr>
        <w:ind w:firstLine="602" w:firstLineChars="200"/>
        <w:rPr>
          <w:rFonts w:hint="eastAsia"/>
          <w:b/>
          <w:bCs/>
          <w:sz w:val="30"/>
          <w:szCs w:val="30"/>
        </w:rPr>
      </w:pPr>
      <w:r>
        <w:rPr>
          <w:rFonts w:hint="eastAsia"/>
          <w:b/>
          <w:bCs/>
          <w:sz w:val="30"/>
          <w:szCs w:val="30"/>
        </w:rPr>
        <w:t>三、强化应急演练</w:t>
      </w:r>
    </w:p>
    <w:p>
      <w:pPr>
        <w:ind w:firstLine="600" w:firstLineChars="200"/>
        <w:rPr>
          <w:rFonts w:hint="eastAsia"/>
          <w:sz w:val="30"/>
          <w:szCs w:val="30"/>
        </w:rPr>
      </w:pPr>
      <w:r>
        <w:rPr>
          <w:rFonts w:hint="eastAsia"/>
          <w:sz w:val="30"/>
          <w:szCs w:val="30"/>
        </w:rPr>
        <w:t>（一）各单位应每半年开展一次模拟真实场景的突袭式应急演练，实战化检验应急处置能力；及时做好应急演练的经验总结，针对演练中发现的问题要立行立改，确保演练实效，切实提升应急处置能力。</w:t>
      </w:r>
    </w:p>
    <w:p>
      <w:pPr>
        <w:ind w:firstLine="600" w:firstLineChars="200"/>
        <w:rPr>
          <w:rFonts w:hint="eastAsia"/>
          <w:sz w:val="30"/>
          <w:szCs w:val="30"/>
        </w:rPr>
      </w:pPr>
      <w:r>
        <w:rPr>
          <w:rFonts w:hint="eastAsia"/>
          <w:sz w:val="30"/>
          <w:szCs w:val="30"/>
        </w:rPr>
        <w:t>（二）各单位应每年对自身的危机处置预案进行评估，根据自身系统发展、应急演练情况和风险预判不断更新、完善危机处置预案，确保危机处置预案的有效性和可操作性。清算机构要研究建立跨机构的应急联防联控和共享协作机制，提升应对重大突发事件的能力。</w:t>
      </w:r>
    </w:p>
    <w:p>
      <w:pPr>
        <w:ind w:firstLine="600" w:firstLineChars="200"/>
        <w:rPr>
          <w:rFonts w:hint="eastAsia"/>
          <w:sz w:val="30"/>
          <w:szCs w:val="30"/>
        </w:rPr>
      </w:pPr>
      <w:r>
        <w:rPr>
          <w:rFonts w:hint="eastAsia"/>
          <w:sz w:val="30"/>
          <w:szCs w:val="30"/>
        </w:rPr>
        <w:t>（三）各单位应每半年组织进行业务连续性管理培训，确保相关工作人员充分掌握应急处置的各项要求，能及时有效应对突发事件或异常情况。要按照各种应急场景梳理相应的应急资源需求，提前做好资源储备，保障应急处置的顺利完成。</w:t>
      </w:r>
    </w:p>
    <w:p>
      <w:pPr>
        <w:ind w:firstLine="602" w:firstLineChars="200"/>
        <w:rPr>
          <w:rFonts w:hint="eastAsia"/>
          <w:b/>
          <w:bCs/>
          <w:sz w:val="30"/>
          <w:szCs w:val="30"/>
        </w:rPr>
      </w:pPr>
      <w:r>
        <w:rPr>
          <w:rFonts w:hint="eastAsia"/>
          <w:b/>
          <w:bCs/>
          <w:sz w:val="30"/>
          <w:szCs w:val="30"/>
        </w:rPr>
        <w:t>四、严格监测报告</w:t>
      </w:r>
    </w:p>
    <w:p>
      <w:pPr>
        <w:ind w:firstLine="600" w:firstLineChars="200"/>
        <w:rPr>
          <w:rFonts w:hint="eastAsia"/>
          <w:sz w:val="30"/>
          <w:szCs w:val="30"/>
        </w:rPr>
      </w:pPr>
      <w:r>
        <w:rPr>
          <w:rFonts w:hint="eastAsia"/>
          <w:sz w:val="30"/>
          <w:szCs w:val="30"/>
        </w:rPr>
        <w:t>（一）人民银行分支行支付结算部门应建立健全支付清算系统业务连续性日常监测报告制度，要求辖区内银行机构和支付机构参照《支付清算系统安全生产事件报送标准》（见附件）报告支付清算系统安全生产事件。对于影响范围较大的安全生产事件，要及时报告支付结算司。</w:t>
      </w:r>
    </w:p>
    <w:p>
      <w:pPr>
        <w:ind w:firstLine="600" w:firstLineChars="200"/>
        <w:rPr>
          <w:rFonts w:hint="eastAsia"/>
          <w:sz w:val="30"/>
          <w:szCs w:val="30"/>
        </w:rPr>
      </w:pPr>
      <w:r>
        <w:rPr>
          <w:rFonts w:hint="eastAsia"/>
          <w:sz w:val="30"/>
          <w:szCs w:val="30"/>
        </w:rPr>
        <w:t>（二）各清算机构要严格落实安全生产日报制度，按照《支付清算系统安全生产事件报送标准》及时向支付结算司报送安全生产事件信息。对于未达到报告标准、但对成员机构客户影响范围较大的，也应在事件发生当日向支付结算司报告。</w:t>
      </w:r>
    </w:p>
    <w:p>
      <w:pPr>
        <w:ind w:firstLine="600" w:firstLineChars="200"/>
        <w:rPr>
          <w:rFonts w:hint="eastAsia"/>
          <w:sz w:val="30"/>
          <w:szCs w:val="30"/>
        </w:rPr>
      </w:pPr>
      <w:r>
        <w:rPr>
          <w:rFonts w:hint="eastAsia"/>
          <w:sz w:val="30"/>
          <w:szCs w:val="30"/>
        </w:rPr>
        <w:t>（三）各单位要认真做好关于支付清算系统安全生产事件的舆情监测，制定完备的舆情应对预案，针对不同舆情制定差异化的应对方案。对于负面舆情要边处置边报告，及时将相关情况报告支付结算司，并积极采取措施妥善处理和应对。</w:t>
      </w:r>
    </w:p>
    <w:p>
      <w:pPr>
        <w:ind w:firstLine="602" w:firstLineChars="200"/>
        <w:rPr>
          <w:rFonts w:hint="eastAsia"/>
          <w:b/>
          <w:bCs/>
          <w:sz w:val="30"/>
          <w:szCs w:val="30"/>
        </w:rPr>
      </w:pPr>
      <w:r>
        <w:rPr>
          <w:rFonts w:hint="eastAsia"/>
          <w:b/>
          <w:bCs/>
          <w:sz w:val="30"/>
          <w:szCs w:val="30"/>
        </w:rPr>
        <w:t>五、定期总结报告</w:t>
      </w:r>
    </w:p>
    <w:p>
      <w:pPr>
        <w:ind w:firstLine="600" w:firstLineChars="200"/>
        <w:rPr>
          <w:rFonts w:hint="eastAsia"/>
          <w:sz w:val="30"/>
          <w:szCs w:val="30"/>
        </w:rPr>
      </w:pPr>
      <w:r>
        <w:rPr>
          <w:rFonts w:hint="eastAsia"/>
          <w:sz w:val="30"/>
          <w:szCs w:val="30"/>
        </w:rPr>
        <w:t>各单位应于每年度结束后15个工作日内向支付结算司报送上年度业务连续性管理工作报告，包括但不限于以下内容：（1）本年度业务连续性管理工作情况。包括系统运行、风险排查整改、应急演练和培训情况，提升业务连续性管理水平的相关措施。（2）业务连续性管理面临的形势分析。包括业务连续性风险评估情况，业务连续性管理面临的困难和挑战。（3）下一步工作计划。</w:t>
      </w:r>
    </w:p>
    <w:p>
      <w:pPr>
        <w:ind w:firstLine="600" w:firstLineChars="200"/>
        <w:rPr>
          <w:rFonts w:hint="eastAsia"/>
          <w:sz w:val="30"/>
          <w:szCs w:val="30"/>
        </w:rPr>
      </w:pPr>
      <w:r>
        <w:rPr>
          <w:rFonts w:hint="eastAsia"/>
          <w:sz w:val="30"/>
          <w:szCs w:val="30"/>
        </w:rPr>
        <w:t>联系人及联系方式：冯鹏杰，010-66194675</w:t>
      </w:r>
    </w:p>
    <w:p>
      <w:pPr>
        <w:ind w:firstLine="600" w:firstLineChars="200"/>
        <w:rPr>
          <w:rFonts w:hint="eastAsia"/>
          <w:sz w:val="30"/>
          <w:szCs w:val="30"/>
        </w:rPr>
      </w:pPr>
      <w:r>
        <w:rPr>
          <w:rFonts w:hint="eastAsia"/>
          <w:sz w:val="30"/>
          <w:szCs w:val="30"/>
        </w:rPr>
        <w:t>附件：支付清算系统安全生产事件报送标准</w:t>
      </w:r>
    </w:p>
    <w:p>
      <w:pPr>
        <w:jc w:val="right"/>
        <w:rPr>
          <w:rFonts w:hint="eastAsia"/>
          <w:sz w:val="30"/>
          <w:szCs w:val="30"/>
        </w:rPr>
      </w:pPr>
      <w:r>
        <w:rPr>
          <w:rFonts w:hint="eastAsia"/>
          <w:sz w:val="30"/>
          <w:szCs w:val="30"/>
        </w:rPr>
        <w:t>中国人民银行支付结算司</w:t>
      </w:r>
    </w:p>
    <w:p>
      <w:pPr>
        <w:jc w:val="right"/>
        <w:rPr>
          <w:rFonts w:hint="eastAsia"/>
          <w:sz w:val="30"/>
          <w:szCs w:val="30"/>
        </w:rPr>
      </w:pPr>
      <w:r>
        <w:rPr>
          <w:rFonts w:hint="eastAsia"/>
          <w:sz w:val="30"/>
          <w:szCs w:val="30"/>
        </w:rPr>
        <w:t>2020年9月9日</w:t>
      </w:r>
    </w:p>
    <w:p>
      <w:pPr>
        <w:spacing w:line="560" w:lineRule="exact"/>
        <w:jc w:val="left"/>
        <w:rPr>
          <w:rFonts w:hint="eastAsia" w:ascii="仿宋_GB2312" w:hAnsi="仿宋_GB2312" w:eastAsia="仿宋_GB2312" w:cs="方正小标宋_GBK"/>
          <w:sz w:val="32"/>
          <w:szCs w:val="44"/>
        </w:rPr>
      </w:pPr>
      <w:r>
        <w:rPr>
          <w:rFonts w:hint="eastAsia" w:ascii="仿宋_GB2312" w:hAnsi="仿宋_GB2312" w:eastAsia="仿宋_GB2312" w:cs="方正小标宋_GBK"/>
          <w:sz w:val="32"/>
          <w:szCs w:val="44"/>
        </w:rPr>
        <w:t>附件</w:t>
      </w:r>
    </w:p>
    <w:p>
      <w:pPr>
        <w:spacing w:line="560" w:lineRule="exact"/>
        <w:jc w:val="center"/>
        <w:rPr>
          <w:rFonts w:hint="eastAsia"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sz w:val="44"/>
          <w:szCs w:val="44"/>
        </w:rPr>
      </w:pPr>
      <w:r>
        <w:rPr>
          <w:rFonts w:hint="eastAsia" w:ascii="方正小标宋_GBK" w:hAnsi="方正小标宋_GBK" w:eastAsia="方正小标宋_GBK" w:cs="方正小标宋_GBK"/>
          <w:sz w:val="44"/>
          <w:szCs w:val="44"/>
        </w:rPr>
        <w:t>支付清算系统安全生产事件报送标准</w:t>
      </w:r>
    </w:p>
    <w:p>
      <w:pPr>
        <w:spacing w:line="400" w:lineRule="exact"/>
        <w:rPr>
          <w:rFonts w:ascii="仿宋" w:hAnsi="仿宋" w:eastAsia="仿宋"/>
          <w:sz w:val="32"/>
          <w:szCs w:val="32"/>
        </w:rPr>
      </w:pPr>
    </w:p>
    <w:tbl>
      <w:tblPr>
        <w:tblStyle w:val="6"/>
        <w:tblpPr w:leftFromText="180" w:rightFromText="180" w:vertAnchor="text" w:horzAnchor="margin" w:tblpXSpec="center" w:tblpY="3010"/>
        <w:tblW w:w="10209" w:type="dxa"/>
        <w:tblInd w:w="-15" w:type="dxa"/>
        <w:tblLayout w:type="fixed"/>
        <w:tblCellMar>
          <w:top w:w="0" w:type="dxa"/>
          <w:left w:w="0" w:type="dxa"/>
          <w:bottom w:w="0" w:type="dxa"/>
          <w:right w:w="0" w:type="dxa"/>
        </w:tblCellMar>
      </w:tblPr>
      <w:tblGrid>
        <w:gridCol w:w="813"/>
        <w:gridCol w:w="2527"/>
        <w:gridCol w:w="520"/>
        <w:gridCol w:w="1360"/>
        <w:gridCol w:w="2350"/>
        <w:gridCol w:w="1364"/>
        <w:gridCol w:w="1275"/>
      </w:tblGrid>
      <w:tr>
        <w:tblPrEx>
          <w:tblLayout w:type="fixed"/>
          <w:tblCellMar>
            <w:top w:w="0" w:type="dxa"/>
            <w:left w:w="0" w:type="dxa"/>
            <w:bottom w:w="0" w:type="dxa"/>
            <w:right w:w="0" w:type="dxa"/>
          </w:tblCellMar>
        </w:tblPrEx>
        <w:trPr>
          <w:trHeight w:val="300" w:hRule="atLeast"/>
        </w:trPr>
        <w:tc>
          <w:tcPr>
            <w:tcW w:w="33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业务类别</w:t>
            </w:r>
          </w:p>
        </w:tc>
        <w:tc>
          <w:tcPr>
            <w:tcW w:w="188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机构类别</w:t>
            </w:r>
          </w:p>
        </w:tc>
        <w:tc>
          <w:tcPr>
            <w:tcW w:w="4989"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报送情形</w:t>
            </w:r>
          </w:p>
        </w:tc>
      </w:tr>
      <w:tr>
        <w:tblPrEx>
          <w:tblLayout w:type="fixed"/>
          <w:tblCellMar>
            <w:top w:w="0" w:type="dxa"/>
            <w:left w:w="0" w:type="dxa"/>
            <w:bottom w:w="0" w:type="dxa"/>
            <w:right w:w="0" w:type="dxa"/>
          </w:tblCellMar>
        </w:tblPrEx>
        <w:trPr>
          <w:trHeight w:val="285" w:hRule="atLeast"/>
        </w:trPr>
        <w:tc>
          <w:tcPr>
            <w:tcW w:w="33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b/>
                <w:bCs/>
                <w:color w:val="000000"/>
                <w:kern w:val="0"/>
                <w:sz w:val="24"/>
                <w:szCs w:val="24"/>
              </w:rPr>
            </w:pPr>
          </w:p>
        </w:tc>
        <w:tc>
          <w:tcPr>
            <w:tcW w:w="18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b/>
                <w:bCs/>
                <w:color w:val="000000"/>
                <w:kern w:val="0"/>
                <w:sz w:val="24"/>
                <w:szCs w:val="24"/>
              </w:rPr>
            </w:pP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影响业务时间</w:t>
            </w:r>
          </w:p>
        </w:tc>
        <w:tc>
          <w:tcPr>
            <w:tcW w:w="136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仿宋_GB2312"/>
                <w:b/>
                <w:bCs/>
                <w:color w:val="000000"/>
                <w:kern w:val="0"/>
                <w:sz w:val="24"/>
                <w:szCs w:val="24"/>
              </w:rPr>
            </w:pPr>
            <w:r>
              <w:rPr>
                <w:rFonts w:hint="eastAsia" w:ascii="仿宋_GB2312" w:hAnsi="仿宋" w:eastAsia="仿宋_GB2312" w:cs="仿宋_GB2312"/>
                <w:b/>
                <w:bCs/>
                <w:color w:val="000000"/>
                <w:kern w:val="0"/>
                <w:sz w:val="24"/>
                <w:szCs w:val="24"/>
              </w:rPr>
              <w:t>影响业务</w:t>
            </w:r>
          </w:p>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笔数</w:t>
            </w:r>
          </w:p>
        </w:tc>
        <w:tc>
          <w:tcPr>
            <w:tcW w:w="1275"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仿宋_GB2312"/>
                <w:b/>
                <w:bCs/>
                <w:color w:val="000000"/>
                <w:kern w:val="0"/>
                <w:sz w:val="24"/>
                <w:szCs w:val="24"/>
              </w:rPr>
            </w:pPr>
            <w:r>
              <w:rPr>
                <w:rFonts w:hint="eastAsia" w:ascii="仿宋_GB2312" w:hAnsi="仿宋" w:eastAsia="仿宋_GB2312" w:cs="仿宋_GB2312"/>
                <w:b/>
                <w:bCs/>
                <w:color w:val="000000"/>
                <w:kern w:val="0"/>
                <w:sz w:val="24"/>
                <w:szCs w:val="24"/>
              </w:rPr>
              <w:t>引发舆情</w:t>
            </w:r>
          </w:p>
          <w:p>
            <w:pPr>
              <w:widowControl/>
              <w:jc w:val="center"/>
              <w:rPr>
                <w:rFonts w:ascii="仿宋_GB2312" w:hAnsi="仿宋" w:eastAsia="仿宋_GB2312"/>
                <w:b/>
                <w:bCs/>
                <w:color w:val="000000"/>
                <w:kern w:val="0"/>
                <w:sz w:val="24"/>
                <w:szCs w:val="24"/>
              </w:rPr>
            </w:pPr>
            <w:r>
              <w:rPr>
                <w:rFonts w:hint="eastAsia" w:ascii="仿宋_GB2312" w:hAnsi="仿宋" w:eastAsia="仿宋_GB2312" w:cs="仿宋_GB2312"/>
                <w:b/>
                <w:bCs/>
                <w:color w:val="000000"/>
                <w:kern w:val="0"/>
                <w:sz w:val="24"/>
                <w:szCs w:val="24"/>
              </w:rPr>
              <w:t>情况</w:t>
            </w:r>
          </w:p>
        </w:tc>
      </w:tr>
      <w:tr>
        <w:tblPrEx>
          <w:tblLayout w:type="fixed"/>
          <w:tblCellMar>
            <w:top w:w="0" w:type="dxa"/>
            <w:left w:w="0" w:type="dxa"/>
            <w:bottom w:w="0" w:type="dxa"/>
            <w:right w:w="0" w:type="dxa"/>
          </w:tblCellMar>
        </w:tblPrEx>
        <w:trPr>
          <w:trHeight w:val="570" w:hRule="atLeast"/>
        </w:trPr>
        <w:tc>
          <w:tcPr>
            <w:tcW w:w="334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支付清算系统</w:t>
            </w:r>
            <w:r>
              <w:rPr>
                <w:rStyle w:val="8"/>
                <w:rFonts w:ascii="仿宋_GB2312" w:hAnsi="仿宋" w:eastAsia="仿宋_GB2312"/>
                <w:color w:val="000000"/>
                <w:kern w:val="0"/>
                <w:sz w:val="24"/>
                <w:szCs w:val="24"/>
              </w:rPr>
              <w:footnoteReference w:id="0"/>
            </w:r>
            <w:r>
              <w:rPr>
                <w:rFonts w:hint="eastAsia" w:ascii="仿宋_GB2312" w:hAnsi="仿宋" w:eastAsia="仿宋_GB2312" w:cs="仿宋_GB2312"/>
                <w:color w:val="000000"/>
                <w:kern w:val="0"/>
                <w:sz w:val="24"/>
                <w:szCs w:val="24"/>
              </w:rPr>
              <w:t>相关业务</w:t>
            </w:r>
          </w:p>
        </w:tc>
        <w:tc>
          <w:tcPr>
            <w:tcW w:w="188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清算机构</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业务中断或部分业务受影响超过</w:t>
            </w:r>
            <w:r>
              <w:rPr>
                <w:rFonts w:ascii="仿宋_GB2312" w:hAnsi="仿宋" w:eastAsia="仿宋_GB2312" w:cs="仿宋_GB2312"/>
                <w:color w:val="000000"/>
                <w:kern w:val="0"/>
                <w:sz w:val="24"/>
                <w:szCs w:val="24"/>
              </w:rPr>
              <w:t>5</w:t>
            </w:r>
            <w:r>
              <w:rPr>
                <w:rFonts w:hint="eastAsia" w:ascii="仿宋_GB2312" w:hAnsi="仿宋" w:eastAsia="仿宋_GB2312" w:cs="仿宋_GB2312"/>
                <w:color w:val="000000"/>
                <w:kern w:val="0"/>
                <w:sz w:val="24"/>
                <w:szCs w:val="24"/>
              </w:rPr>
              <w:t>分钟</w:t>
            </w:r>
          </w:p>
        </w:tc>
        <w:tc>
          <w:tcPr>
            <w:tcW w:w="1364" w:type="dxa"/>
            <w:vMerge w:val="restart"/>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因支付清算系统运营机构或其成员机构原因影响业务超过</w:t>
            </w:r>
            <w:r>
              <w:rPr>
                <w:rFonts w:ascii="仿宋_GB2312" w:hAnsi="仿宋" w:eastAsia="仿宋_GB2312" w:cs="仿宋_GB2312"/>
                <w:color w:val="000000"/>
                <w:kern w:val="0"/>
                <w:sz w:val="24"/>
                <w:szCs w:val="24"/>
              </w:rPr>
              <w:t>10</w:t>
            </w:r>
            <w:r>
              <w:rPr>
                <w:rFonts w:hint="eastAsia" w:ascii="仿宋_GB2312" w:hAnsi="仿宋" w:eastAsia="仿宋_GB2312" w:cs="仿宋_GB2312"/>
                <w:color w:val="000000"/>
                <w:kern w:val="0"/>
                <w:sz w:val="24"/>
                <w:szCs w:val="24"/>
              </w:rPr>
              <w:t>万笔或超过日均业务量的千分之一</w:t>
            </w:r>
          </w:p>
        </w:tc>
        <w:tc>
          <w:tcPr>
            <w:tcW w:w="1275" w:type="dxa"/>
            <w:vMerge w:val="restart"/>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因支付清算系统运营机构或其成员机构的安全生产事件引发舆情或客户集中投诉</w:t>
            </w:r>
          </w:p>
        </w:tc>
      </w:tr>
      <w:tr>
        <w:tblPrEx>
          <w:tblLayout w:type="fixed"/>
          <w:tblCellMar>
            <w:top w:w="0" w:type="dxa"/>
            <w:left w:w="0" w:type="dxa"/>
            <w:bottom w:w="0" w:type="dxa"/>
            <w:right w:w="0" w:type="dxa"/>
          </w:tblCellMar>
        </w:tblPrEx>
        <w:trPr>
          <w:trHeight w:val="714" w:hRule="atLeast"/>
        </w:trPr>
        <w:tc>
          <w:tcPr>
            <w:tcW w:w="81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cs="仿宋_GB2312"/>
                <w:color w:val="000000"/>
                <w:kern w:val="0"/>
                <w:sz w:val="24"/>
                <w:szCs w:val="24"/>
              </w:rPr>
            </w:pPr>
            <w:r>
              <w:rPr>
                <w:rFonts w:hint="eastAsia" w:ascii="仿宋_GB2312" w:hAnsi="仿宋" w:eastAsia="仿宋_GB2312" w:cs="仿宋_GB2312"/>
                <w:color w:val="000000"/>
                <w:kern w:val="0"/>
                <w:sz w:val="24"/>
                <w:szCs w:val="24"/>
              </w:rPr>
              <w:t>批发支付业务</w:t>
            </w:r>
            <w:r>
              <w:rPr>
                <w:rFonts w:ascii="仿宋_GB2312" w:hAnsi="仿宋" w:eastAsia="仿宋_GB2312" w:cs="仿宋_GB2312"/>
                <w:color w:val="000000"/>
                <w:kern w:val="0"/>
                <w:sz w:val="24"/>
                <w:szCs w:val="24"/>
              </w:rPr>
              <w:t xml:space="preserve">     </w:t>
            </w:r>
          </w:p>
        </w:tc>
        <w:tc>
          <w:tcPr>
            <w:tcW w:w="2527" w:type="dxa"/>
            <w:vMerge w:val="restart"/>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成员机构通过大额支付系统、人民币跨境支付系统办理的银行间业务</w:t>
            </w:r>
          </w:p>
        </w:tc>
        <w:tc>
          <w:tcPr>
            <w:tcW w:w="5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成员机构</w:t>
            </w: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主要银行</w:t>
            </w:r>
            <w:r>
              <w:rPr>
                <w:rStyle w:val="8"/>
                <w:rFonts w:ascii="仿宋_GB2312" w:hAnsi="仿宋" w:eastAsia="仿宋_GB2312"/>
                <w:color w:val="000000"/>
                <w:kern w:val="0"/>
                <w:sz w:val="24"/>
                <w:szCs w:val="24"/>
              </w:rPr>
              <w:footnoteReference w:id="1"/>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业务中断或部分业务受影响超过</w:t>
            </w:r>
            <w:r>
              <w:rPr>
                <w:rFonts w:ascii="仿宋_GB2312" w:hAnsi="仿宋" w:eastAsia="仿宋_GB2312" w:cs="仿宋_GB2312"/>
                <w:color w:val="000000"/>
                <w:kern w:val="0"/>
                <w:sz w:val="24"/>
                <w:szCs w:val="24"/>
              </w:rPr>
              <w:t>5</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r>
        <w:tblPrEx>
          <w:tblLayout w:type="fixed"/>
          <w:tblCellMar>
            <w:top w:w="0" w:type="dxa"/>
            <w:left w:w="0" w:type="dxa"/>
            <w:bottom w:w="0" w:type="dxa"/>
            <w:right w:w="0" w:type="dxa"/>
          </w:tblCellMar>
        </w:tblPrEx>
        <w:trPr>
          <w:trHeight w:val="698" w:hRule="atLeast"/>
        </w:trPr>
        <w:tc>
          <w:tcPr>
            <w:tcW w:w="81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252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其他银行</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业务中断或部分业务受影响超过</w:t>
            </w:r>
            <w:r>
              <w:rPr>
                <w:rFonts w:ascii="仿宋_GB2312" w:hAnsi="仿宋" w:eastAsia="仿宋_GB2312" w:cs="仿宋_GB2312"/>
                <w:color w:val="000000"/>
                <w:kern w:val="0"/>
                <w:sz w:val="24"/>
                <w:szCs w:val="24"/>
              </w:rPr>
              <w:t>10</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r>
        <w:tblPrEx>
          <w:tblLayout w:type="fixed"/>
          <w:tblCellMar>
            <w:top w:w="0" w:type="dxa"/>
            <w:left w:w="0" w:type="dxa"/>
            <w:bottom w:w="0" w:type="dxa"/>
            <w:right w:w="0" w:type="dxa"/>
          </w:tblCellMar>
        </w:tblPrEx>
        <w:trPr>
          <w:trHeight w:val="1557" w:hRule="atLeast"/>
        </w:trPr>
        <w:tc>
          <w:tcPr>
            <w:tcW w:w="81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零售支付业务</w:t>
            </w:r>
          </w:p>
        </w:tc>
        <w:tc>
          <w:tcPr>
            <w:tcW w:w="2527" w:type="dxa"/>
            <w:vMerge w:val="restart"/>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成员机构通过小额支付系统、网上支付跨行清算系统、境内外币支付系统、银联银行卡跨行交易清算系统、农信银支付清算系统、城商行支付清算系统等零售支付系统办理的银行间业务</w:t>
            </w: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主要银行</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业务成功率低于</w:t>
            </w:r>
            <w:r>
              <w:rPr>
                <w:rFonts w:ascii="仿宋_GB2312" w:hAnsi="仿宋" w:eastAsia="仿宋_GB2312" w:cs="仿宋_GB2312"/>
                <w:color w:val="000000"/>
                <w:kern w:val="0"/>
                <w:sz w:val="24"/>
                <w:szCs w:val="24"/>
              </w:rPr>
              <w:t>80%</w:t>
            </w:r>
            <w:r>
              <w:rPr>
                <w:rFonts w:hint="eastAsia" w:ascii="仿宋_GB2312" w:hAnsi="仿宋" w:eastAsia="仿宋_GB2312" w:cs="仿宋_GB2312"/>
                <w:color w:val="000000"/>
                <w:kern w:val="0"/>
                <w:sz w:val="24"/>
                <w:szCs w:val="24"/>
              </w:rPr>
              <w:t>超过</w:t>
            </w:r>
            <w:r>
              <w:rPr>
                <w:rFonts w:ascii="仿宋_GB2312" w:hAnsi="仿宋" w:eastAsia="仿宋_GB2312" w:cs="仿宋_GB2312"/>
                <w:color w:val="000000"/>
                <w:kern w:val="0"/>
                <w:sz w:val="24"/>
                <w:szCs w:val="24"/>
              </w:rPr>
              <w:t>10</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r>
        <w:tblPrEx>
          <w:tblLayout w:type="fixed"/>
          <w:tblCellMar>
            <w:top w:w="0" w:type="dxa"/>
            <w:left w:w="0" w:type="dxa"/>
            <w:bottom w:w="0" w:type="dxa"/>
            <w:right w:w="0" w:type="dxa"/>
          </w:tblCellMar>
        </w:tblPrEx>
        <w:trPr>
          <w:trHeight w:val="1279" w:hRule="atLeast"/>
        </w:trPr>
        <w:tc>
          <w:tcPr>
            <w:tcW w:w="81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252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其他银行</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业务成功率低于</w:t>
            </w:r>
            <w:r>
              <w:rPr>
                <w:rFonts w:ascii="仿宋_GB2312" w:hAnsi="仿宋" w:eastAsia="仿宋_GB2312" w:cs="仿宋_GB2312"/>
                <w:color w:val="000000"/>
                <w:kern w:val="0"/>
                <w:sz w:val="24"/>
                <w:szCs w:val="24"/>
              </w:rPr>
              <w:t>50%</w:t>
            </w:r>
            <w:r>
              <w:rPr>
                <w:rFonts w:hint="eastAsia" w:ascii="仿宋_GB2312" w:hAnsi="仿宋" w:eastAsia="仿宋_GB2312" w:cs="仿宋_GB2312"/>
                <w:color w:val="000000"/>
                <w:kern w:val="0"/>
                <w:sz w:val="24"/>
                <w:szCs w:val="24"/>
              </w:rPr>
              <w:t>超过</w:t>
            </w:r>
            <w:r>
              <w:rPr>
                <w:rFonts w:ascii="仿宋_GB2312" w:hAnsi="仿宋" w:eastAsia="仿宋_GB2312" w:cs="仿宋_GB2312"/>
                <w:color w:val="000000"/>
                <w:kern w:val="0"/>
                <w:sz w:val="24"/>
                <w:szCs w:val="24"/>
              </w:rPr>
              <w:t>30</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r>
        <w:tblPrEx>
          <w:tblLayout w:type="fixed"/>
          <w:tblCellMar>
            <w:top w:w="0" w:type="dxa"/>
            <w:left w:w="0" w:type="dxa"/>
            <w:bottom w:w="0" w:type="dxa"/>
            <w:right w:w="0" w:type="dxa"/>
          </w:tblCellMar>
        </w:tblPrEx>
        <w:trPr>
          <w:trHeight w:val="660" w:hRule="atLeast"/>
        </w:trPr>
        <w:tc>
          <w:tcPr>
            <w:tcW w:w="81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2527" w:type="dxa"/>
            <w:vMerge w:val="restart"/>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s="仿宋_GB2312"/>
                <w:color w:val="000000"/>
                <w:kern w:val="0"/>
                <w:sz w:val="24"/>
                <w:szCs w:val="24"/>
              </w:rPr>
            </w:pPr>
            <w:r>
              <w:rPr>
                <w:rFonts w:hint="eastAsia" w:ascii="仿宋_GB2312" w:hAnsi="仿宋" w:eastAsia="仿宋_GB2312" w:cs="仿宋_GB2312"/>
                <w:color w:val="000000"/>
                <w:kern w:val="0"/>
                <w:sz w:val="24"/>
                <w:szCs w:val="24"/>
              </w:rPr>
              <w:t>成员机构通过网联、银联办理的支付机构与银行间业务</w:t>
            </w:r>
            <w:r>
              <w:rPr>
                <w:rFonts w:ascii="仿宋_GB2312" w:hAnsi="仿宋" w:eastAsia="仿宋_GB2312" w:cs="仿宋_GB2312"/>
                <w:color w:val="000000"/>
                <w:kern w:val="0"/>
                <w:sz w:val="24"/>
                <w:szCs w:val="24"/>
              </w:rPr>
              <w:t xml:space="preserve">      </w:t>
            </w: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s="仿宋_GB2312"/>
                <w:color w:val="000000"/>
                <w:kern w:val="0"/>
                <w:sz w:val="24"/>
                <w:szCs w:val="24"/>
              </w:rPr>
            </w:pP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主要银行</w:t>
            </w:r>
            <w:r>
              <w:rPr>
                <w:rFonts w:ascii="仿宋_GB2312" w:hAnsi="仿宋" w:eastAsia="仿宋_GB2312" w:cs="仿宋_GB2312"/>
                <w:color w:val="000000"/>
                <w:kern w:val="0"/>
                <w:sz w:val="24"/>
                <w:szCs w:val="24"/>
              </w:rPr>
              <w:t>/</w:t>
            </w:r>
            <w:r>
              <w:rPr>
                <w:rFonts w:hint="eastAsia" w:ascii="仿宋_GB2312" w:hAnsi="仿宋" w:eastAsia="仿宋_GB2312" w:cs="仿宋_GB2312"/>
                <w:color w:val="000000"/>
                <w:kern w:val="0"/>
                <w:sz w:val="24"/>
                <w:szCs w:val="24"/>
              </w:rPr>
              <w:t>支付机构</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业务成功率低于</w:t>
            </w:r>
            <w:r>
              <w:rPr>
                <w:rFonts w:ascii="仿宋_GB2312" w:hAnsi="仿宋" w:eastAsia="仿宋_GB2312" w:cs="仿宋_GB2312"/>
                <w:color w:val="000000"/>
                <w:kern w:val="0"/>
                <w:sz w:val="24"/>
                <w:szCs w:val="24"/>
              </w:rPr>
              <w:t>95%</w:t>
            </w:r>
            <w:r>
              <w:rPr>
                <w:rFonts w:hint="eastAsia" w:ascii="仿宋_GB2312" w:hAnsi="仿宋" w:eastAsia="仿宋_GB2312" w:cs="仿宋_GB2312"/>
                <w:color w:val="000000"/>
                <w:kern w:val="0"/>
                <w:sz w:val="24"/>
                <w:szCs w:val="24"/>
              </w:rPr>
              <w:t>超过</w:t>
            </w:r>
            <w:r>
              <w:rPr>
                <w:rFonts w:ascii="仿宋_GB2312" w:hAnsi="仿宋" w:eastAsia="仿宋_GB2312" w:cs="仿宋_GB2312"/>
                <w:color w:val="000000"/>
                <w:kern w:val="0"/>
                <w:sz w:val="24"/>
                <w:szCs w:val="24"/>
              </w:rPr>
              <w:t>10</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r>
        <w:tblPrEx>
          <w:tblLayout w:type="fixed"/>
          <w:tblCellMar>
            <w:top w:w="0" w:type="dxa"/>
            <w:left w:w="0" w:type="dxa"/>
            <w:bottom w:w="0" w:type="dxa"/>
            <w:right w:w="0" w:type="dxa"/>
          </w:tblCellMar>
        </w:tblPrEx>
        <w:trPr>
          <w:trHeight w:val="660" w:hRule="atLeast"/>
        </w:trPr>
        <w:tc>
          <w:tcPr>
            <w:tcW w:w="81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252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5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 w:eastAsia="仿宋_GB2312"/>
                <w:color w:val="000000"/>
                <w:kern w:val="0"/>
                <w:sz w:val="24"/>
                <w:szCs w:val="24"/>
              </w:rPr>
            </w:pPr>
          </w:p>
        </w:tc>
        <w:tc>
          <w:tcPr>
            <w:tcW w:w="136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其他银行</w:t>
            </w:r>
            <w:r>
              <w:rPr>
                <w:rFonts w:ascii="仿宋_GB2312" w:hAnsi="仿宋" w:eastAsia="仿宋_GB2312" w:cs="仿宋_GB2312"/>
                <w:color w:val="000000"/>
                <w:kern w:val="0"/>
                <w:sz w:val="24"/>
                <w:szCs w:val="24"/>
              </w:rPr>
              <w:t>/</w:t>
            </w:r>
            <w:r>
              <w:rPr>
                <w:rFonts w:hint="eastAsia" w:ascii="仿宋_GB2312" w:hAnsi="仿宋" w:eastAsia="仿宋_GB2312" w:cs="仿宋_GB2312"/>
                <w:color w:val="000000"/>
                <w:kern w:val="0"/>
                <w:sz w:val="24"/>
                <w:szCs w:val="24"/>
              </w:rPr>
              <w:t>支付机构</w:t>
            </w:r>
          </w:p>
        </w:tc>
        <w:tc>
          <w:tcPr>
            <w:tcW w:w="2350" w:type="dxa"/>
            <w:tcBorders>
              <w:top w:val="nil"/>
              <w:left w:val="nil"/>
              <w:bottom w:val="single" w:color="auto" w:sz="4" w:space="0"/>
              <w:right w:val="single" w:color="auto" w:sz="4" w:space="0"/>
            </w:tcBorders>
            <w:noWrap w:val="0"/>
            <w:vAlign w:val="center"/>
          </w:tcPr>
          <w:p>
            <w:pPr>
              <w:widowControl/>
              <w:jc w:val="center"/>
              <w:rPr>
                <w:rFonts w:ascii="仿宋_GB2312" w:hAnsi="仿宋" w:eastAsia="仿宋_GB2312"/>
                <w:color w:val="000000"/>
                <w:kern w:val="0"/>
                <w:sz w:val="24"/>
                <w:szCs w:val="24"/>
              </w:rPr>
            </w:pPr>
            <w:r>
              <w:rPr>
                <w:rFonts w:hint="eastAsia" w:ascii="仿宋_GB2312" w:hAnsi="仿宋" w:eastAsia="仿宋_GB2312" w:cs="仿宋_GB2312"/>
                <w:color w:val="000000"/>
                <w:kern w:val="0"/>
                <w:sz w:val="24"/>
                <w:szCs w:val="24"/>
              </w:rPr>
              <w:t>业务成功率低于</w:t>
            </w:r>
            <w:r>
              <w:rPr>
                <w:rFonts w:ascii="仿宋_GB2312" w:hAnsi="仿宋" w:eastAsia="仿宋_GB2312" w:cs="仿宋_GB2312"/>
                <w:color w:val="000000"/>
                <w:kern w:val="0"/>
                <w:sz w:val="24"/>
                <w:szCs w:val="24"/>
              </w:rPr>
              <w:t>50%</w:t>
            </w:r>
            <w:r>
              <w:rPr>
                <w:rFonts w:hint="eastAsia" w:ascii="仿宋_GB2312" w:hAnsi="仿宋" w:eastAsia="仿宋_GB2312" w:cs="仿宋_GB2312"/>
                <w:color w:val="000000"/>
                <w:kern w:val="0"/>
                <w:sz w:val="24"/>
                <w:szCs w:val="24"/>
              </w:rPr>
              <w:t>超过</w:t>
            </w:r>
            <w:r>
              <w:rPr>
                <w:rFonts w:ascii="仿宋_GB2312" w:hAnsi="仿宋" w:eastAsia="仿宋_GB2312" w:cs="仿宋_GB2312"/>
                <w:color w:val="000000"/>
                <w:kern w:val="0"/>
                <w:sz w:val="24"/>
                <w:szCs w:val="24"/>
              </w:rPr>
              <w:t>30</w:t>
            </w:r>
            <w:r>
              <w:rPr>
                <w:rFonts w:hint="eastAsia" w:ascii="仿宋_GB2312" w:hAnsi="仿宋" w:eastAsia="仿宋_GB2312" w:cs="仿宋_GB2312"/>
                <w:color w:val="000000"/>
                <w:kern w:val="0"/>
                <w:sz w:val="24"/>
                <w:szCs w:val="24"/>
              </w:rPr>
              <w:t>分钟</w:t>
            </w:r>
          </w:p>
        </w:tc>
        <w:tc>
          <w:tcPr>
            <w:tcW w:w="136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c>
          <w:tcPr>
            <w:tcW w:w="127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 w:hAnsi="仿宋" w:eastAsia="仿宋"/>
                <w:color w:val="000000"/>
                <w:kern w:val="0"/>
                <w:sz w:val="24"/>
                <w:szCs w:val="24"/>
              </w:rPr>
            </w:pPr>
          </w:p>
        </w:tc>
      </w:tr>
    </w:tbl>
    <w:p>
      <w:pPr>
        <w:spacing w:line="560" w:lineRule="exact"/>
        <w:ind w:firstLine="640" w:firstLineChars="200"/>
        <w:rPr>
          <w:rFonts w:ascii="仿宋" w:hAnsi="仿宋" w:eastAsia="仿宋"/>
          <w:sz w:val="32"/>
          <w:szCs w:val="32"/>
        </w:rPr>
      </w:pPr>
      <w:r>
        <w:rPr>
          <w:rFonts w:hint="eastAsia" w:ascii="仿宋_GB2312" w:hAnsi="仿宋" w:eastAsia="仿宋_GB2312" w:cs="仿宋_GB2312"/>
          <w:sz w:val="32"/>
          <w:szCs w:val="32"/>
        </w:rPr>
        <w:t>支付清算系统安全生产事件是指因系统运营机构自身原因或其成员机构原因导致的支付清算系统业务中断或部分业务受影响的事件。满足以下任一情形的安全生产事件需进行报送，报送内容主要包括发生时间、影响范围、影响业务量、事件原因、处置情况、舆情监测情况等：</w:t>
      </w:r>
    </w:p>
    <w:p>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
        <w:spacing w:line="216" w:lineRule="auto"/>
        <w:jc w:val="both"/>
        <w:rPr>
          <w:rFonts w:hint="eastAsia" w:ascii="仿宋_GB2312" w:hAnsi="仿宋_GB2312" w:eastAsia="仿宋_GB2312"/>
        </w:rPr>
      </w:pPr>
      <w:r>
        <w:rPr>
          <w:rStyle w:val="8"/>
          <w:rFonts w:hint="eastAsia" w:ascii="仿宋_GB2312" w:hAnsi="仿宋_GB2312" w:eastAsia="仿宋_GB2312"/>
        </w:rPr>
        <w:footnoteRef/>
      </w:r>
      <w:r>
        <w:rPr>
          <w:rFonts w:hint="eastAsia" w:ascii="仿宋_GB2312" w:hAnsi="仿宋_GB2312" w:eastAsia="仿宋_GB2312"/>
        </w:rPr>
        <w:t>包括大额支付系统、小额支付系统、网上支付跨行清算系统、境内外币支付系统、人民币跨境支付系统、银联银行卡跨行交易清算系统、农信银支付清算系统、城商行支付清算系统、网联清算平台等支付清算系统。</w:t>
      </w:r>
    </w:p>
  </w:footnote>
  <w:footnote w:id="1">
    <w:p>
      <w:pPr>
        <w:pStyle w:val="5"/>
        <w:spacing w:line="216" w:lineRule="auto"/>
        <w:jc w:val="both"/>
        <w:rPr>
          <w:rFonts w:hint="eastAsia" w:ascii="仿宋_GB2312" w:hAnsi="仿宋_GB2312" w:eastAsia="仿宋_GB2312"/>
        </w:rPr>
      </w:pPr>
      <w:r>
        <w:rPr>
          <w:rStyle w:val="8"/>
          <w:rFonts w:hint="eastAsia" w:ascii="仿宋_GB2312" w:hAnsi="仿宋_GB2312" w:eastAsia="仿宋_GB2312"/>
        </w:rPr>
        <w:footnoteRef/>
      </w:r>
      <w:r>
        <w:rPr>
          <w:rFonts w:hint="eastAsia" w:ascii="仿宋_GB2312" w:hAnsi="仿宋_GB2312" w:eastAsia="仿宋_GB2312"/>
        </w:rPr>
        <w:t>主要成员机构（银行/支付机构）名单由各清算机构自行确定，主要成员机构合计业务量应占相应支付清算系统业务总量的70%以上。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13D39"/>
    <w:rsid w:val="240A0C1E"/>
    <w:rsid w:val="250B1EA0"/>
    <w:rsid w:val="2AB13D39"/>
    <w:rsid w:val="3D4E7365"/>
    <w:rsid w:val="478E55DA"/>
    <w:rsid w:val="6C06439C"/>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1624"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1521"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5">
    <w:name w:val="footnote text"/>
    <w:basedOn w:val="1"/>
    <w:qFormat/>
    <w:uiPriority w:val="1624"/>
    <w:pPr>
      <w:snapToGrid w:val="0"/>
      <w:jc w:val="left"/>
    </w:pPr>
    <w:rPr>
      <w:sz w:val="18"/>
      <w:szCs w:val="18"/>
    </w:rPr>
  </w:style>
  <w:style w:type="character" w:styleId="8">
    <w:name w:val="footnote reference"/>
    <w:basedOn w:val="7"/>
    <w:qFormat/>
    <w:uiPriority w:val="1521"/>
    <w:rPr>
      <w:rFonts w:ascii="Times New Roman" w:hAnsi="Times New Roman" w:cs="Times New Roman"/>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2021-07-19T08:00:00Z</dcterms:created>
  <dc:creator>Administrator</dc:creator>
  <cp:lastModifiedBy>Administrator</cp:lastModifiedBy>
  <dcterms:modified xsi:type="dcterms:W3CDTF">2021-07-19T08:04:21Z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