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66D5" w:rsidRDefault="00D03088" w:rsidP="003166D5">
      <w:pPr>
        <w:widowControl/>
        <w:pBdr>
          <w:bottom w:val="single" w:sz="6" w:space="6" w:color="C2E481"/>
        </w:pBdr>
        <w:shd w:val="clear" w:color="auto" w:fill="FFFFFF"/>
        <w:spacing w:line="360" w:lineRule="auto"/>
        <w:jc w:val="center"/>
        <w:outlineLvl w:val="0"/>
        <w:rPr>
          <w:rFonts w:ascii="宋体" w:eastAsia="宋体" w:hAnsi="宋体" w:cs="宋体" w:hint="eastAsia"/>
          <w:b/>
          <w:bCs/>
          <w:color w:val="000000"/>
          <w:kern w:val="36"/>
          <w:sz w:val="44"/>
          <w:szCs w:val="44"/>
        </w:rPr>
      </w:pPr>
      <w:r w:rsidRPr="003166D5">
        <w:rPr>
          <w:rFonts w:ascii="宋体" w:eastAsia="宋体" w:hAnsi="宋体" w:cs="宋体" w:hint="eastAsia"/>
          <w:b/>
          <w:bCs/>
          <w:color w:val="000000"/>
          <w:kern w:val="36"/>
          <w:sz w:val="44"/>
          <w:szCs w:val="44"/>
        </w:rPr>
        <w:t>非银行支付机构支付业务</w:t>
      </w:r>
    </w:p>
    <w:p w:rsidR="00D03088" w:rsidRPr="003166D5" w:rsidRDefault="00D03088" w:rsidP="003166D5">
      <w:pPr>
        <w:widowControl/>
        <w:pBdr>
          <w:bottom w:val="single" w:sz="6" w:space="6" w:color="C2E481"/>
        </w:pBdr>
        <w:shd w:val="clear" w:color="auto" w:fill="FFFFFF"/>
        <w:spacing w:line="360" w:lineRule="auto"/>
        <w:jc w:val="center"/>
        <w:outlineLvl w:val="0"/>
        <w:rPr>
          <w:rFonts w:ascii="宋体" w:eastAsia="宋体" w:hAnsi="宋体" w:cs="宋体"/>
          <w:b/>
          <w:bCs/>
          <w:color w:val="000000"/>
          <w:kern w:val="36"/>
          <w:sz w:val="44"/>
          <w:szCs w:val="44"/>
        </w:rPr>
      </w:pPr>
      <w:r w:rsidRPr="003166D5">
        <w:rPr>
          <w:rFonts w:ascii="宋体" w:eastAsia="宋体" w:hAnsi="宋体" w:cs="宋体" w:hint="eastAsia"/>
          <w:b/>
          <w:bCs/>
          <w:color w:val="000000"/>
          <w:kern w:val="36"/>
          <w:sz w:val="44"/>
          <w:szCs w:val="44"/>
        </w:rPr>
        <w:t>设施技术要求和检测规范金融行业标准</w:t>
      </w:r>
    </w:p>
    <w:p w:rsidR="00D03088" w:rsidRPr="00D03088" w:rsidRDefault="00D03088" w:rsidP="003166D5">
      <w:pPr>
        <w:widowControl/>
        <w:spacing w:line="360" w:lineRule="auto"/>
        <w:jc w:val="left"/>
        <w:rPr>
          <w:rFonts w:ascii="宋体" w:eastAsia="宋体" w:hAnsi="宋体" w:cs="宋体"/>
          <w:kern w:val="0"/>
          <w:sz w:val="24"/>
          <w:szCs w:val="24"/>
        </w:rPr>
      </w:pPr>
    </w:p>
    <w:p w:rsidR="00D03088" w:rsidRPr="00D03088" w:rsidRDefault="00D03088" w:rsidP="003166D5">
      <w:pPr>
        <w:widowControl/>
        <w:shd w:val="clear" w:color="auto" w:fill="FFFFFF"/>
        <w:spacing w:line="360" w:lineRule="auto"/>
        <w:ind w:firstLine="420"/>
        <w:rPr>
          <w:rFonts w:ascii="宋体" w:eastAsia="宋体" w:hAnsi="宋体" w:cs="宋体"/>
          <w:color w:val="444444"/>
          <w:kern w:val="0"/>
          <w:szCs w:val="21"/>
        </w:rPr>
      </w:pPr>
      <w:r w:rsidRPr="00D03088">
        <w:rPr>
          <w:rFonts w:ascii="宋体" w:eastAsia="宋体" w:hAnsi="宋体" w:cs="宋体"/>
          <w:color w:val="444444"/>
          <w:kern w:val="0"/>
          <w:szCs w:val="21"/>
        </w:rPr>
        <w:t>2018年</w:t>
      </w:r>
      <w:r w:rsidRPr="00D03088">
        <w:rPr>
          <w:rFonts w:ascii="Calibri" w:eastAsia="宋体" w:hAnsi="Calibri" w:cs="Calibri"/>
          <w:color w:val="444444"/>
          <w:kern w:val="0"/>
          <w:szCs w:val="21"/>
        </w:rPr>
        <w:t>10</w:t>
      </w:r>
      <w:r w:rsidRPr="00D03088">
        <w:rPr>
          <w:rFonts w:ascii="宋体" w:eastAsia="宋体" w:hAnsi="宋体" w:cs="宋体"/>
          <w:color w:val="444444"/>
          <w:kern w:val="0"/>
          <w:szCs w:val="21"/>
        </w:rPr>
        <w:t>月</w:t>
      </w:r>
      <w:r w:rsidRPr="00D03088">
        <w:rPr>
          <w:rFonts w:ascii="Calibri" w:eastAsia="宋体" w:hAnsi="Calibri" w:cs="Calibri"/>
          <w:color w:val="444444"/>
          <w:kern w:val="0"/>
          <w:szCs w:val="21"/>
        </w:rPr>
        <w:t>29</w:t>
      </w:r>
      <w:r w:rsidRPr="00D03088">
        <w:rPr>
          <w:rFonts w:ascii="宋体" w:eastAsia="宋体" w:hAnsi="宋体" w:cs="宋体"/>
          <w:color w:val="444444"/>
          <w:kern w:val="0"/>
          <w:szCs w:val="21"/>
        </w:rPr>
        <w:t>日，《非银行支付机构支付业务设施技术要求》（</w:t>
      </w:r>
      <w:r w:rsidRPr="00D03088">
        <w:rPr>
          <w:rFonts w:ascii="Calibri" w:eastAsia="宋体" w:hAnsi="Calibri" w:cs="Calibri"/>
          <w:color w:val="444444"/>
          <w:kern w:val="0"/>
          <w:szCs w:val="21"/>
        </w:rPr>
        <w:t>JR/T 0122</w:t>
      </w:r>
      <w:r w:rsidRPr="00D03088">
        <w:rPr>
          <w:rFonts w:ascii="宋体" w:eastAsia="宋体" w:hAnsi="宋体" w:cs="宋体"/>
          <w:color w:val="444444"/>
          <w:kern w:val="0"/>
          <w:szCs w:val="21"/>
        </w:rPr>
        <w:t>—</w:t>
      </w:r>
      <w:r w:rsidRPr="00D03088">
        <w:rPr>
          <w:rFonts w:ascii="Calibri" w:eastAsia="宋体" w:hAnsi="Calibri" w:cs="Calibri"/>
          <w:color w:val="444444"/>
          <w:kern w:val="0"/>
          <w:szCs w:val="21"/>
        </w:rPr>
        <w:t>2018</w:t>
      </w:r>
      <w:r w:rsidRPr="00D03088">
        <w:rPr>
          <w:rFonts w:ascii="宋体" w:eastAsia="宋体" w:hAnsi="宋体" w:cs="宋体"/>
          <w:color w:val="444444"/>
          <w:kern w:val="0"/>
          <w:szCs w:val="21"/>
        </w:rPr>
        <w:t>）、《非银行支付机构支付业务设施检测规范》（共</w:t>
      </w:r>
      <w:r w:rsidRPr="00D03088">
        <w:rPr>
          <w:rFonts w:ascii="Calibri" w:eastAsia="宋体" w:hAnsi="Calibri" w:cs="Calibri"/>
          <w:color w:val="444444"/>
          <w:kern w:val="0"/>
          <w:szCs w:val="21"/>
        </w:rPr>
        <w:t>6</w:t>
      </w:r>
      <w:r w:rsidRPr="00D03088">
        <w:rPr>
          <w:rFonts w:ascii="宋体" w:eastAsia="宋体" w:hAnsi="宋体" w:cs="宋体"/>
          <w:color w:val="444444"/>
          <w:kern w:val="0"/>
          <w:szCs w:val="21"/>
        </w:rPr>
        <w:t>部分）（</w:t>
      </w:r>
      <w:r w:rsidRPr="00D03088">
        <w:rPr>
          <w:rFonts w:ascii="Calibri" w:eastAsia="宋体" w:hAnsi="Calibri" w:cs="Calibri"/>
          <w:color w:val="444444"/>
          <w:kern w:val="0"/>
          <w:szCs w:val="21"/>
        </w:rPr>
        <w:t>JR/T 0123</w:t>
      </w:r>
      <w:r w:rsidRPr="00D03088">
        <w:rPr>
          <w:rFonts w:ascii="宋体" w:eastAsia="宋体" w:hAnsi="宋体" w:cs="宋体"/>
          <w:color w:val="444444"/>
          <w:kern w:val="0"/>
          <w:szCs w:val="21"/>
        </w:rPr>
        <w:t>—</w:t>
      </w:r>
      <w:r w:rsidRPr="00D03088">
        <w:rPr>
          <w:rFonts w:ascii="Calibri" w:eastAsia="宋体" w:hAnsi="Calibri" w:cs="Calibri"/>
          <w:color w:val="444444"/>
          <w:kern w:val="0"/>
          <w:szCs w:val="21"/>
        </w:rPr>
        <w:t>2018</w:t>
      </w:r>
      <w:r w:rsidRPr="00D03088">
        <w:rPr>
          <w:rFonts w:ascii="宋体" w:eastAsia="宋体" w:hAnsi="宋体" w:cs="宋体"/>
          <w:color w:val="444444"/>
          <w:kern w:val="0"/>
          <w:szCs w:val="21"/>
        </w:rPr>
        <w:t>）金融行业标准由中国人民银行正式发布。</w:t>
      </w:r>
    </w:p>
    <w:p w:rsidR="00D03088" w:rsidRPr="00D03088" w:rsidRDefault="00D03088" w:rsidP="003166D5">
      <w:pPr>
        <w:widowControl/>
        <w:shd w:val="clear" w:color="auto" w:fill="FFFFFF"/>
        <w:spacing w:line="360" w:lineRule="auto"/>
        <w:ind w:firstLine="420"/>
        <w:rPr>
          <w:rFonts w:ascii="宋体" w:eastAsia="宋体" w:hAnsi="宋体" w:cs="宋体"/>
          <w:color w:val="444444"/>
          <w:kern w:val="0"/>
          <w:szCs w:val="21"/>
        </w:rPr>
      </w:pPr>
      <w:r w:rsidRPr="00D03088">
        <w:rPr>
          <w:rFonts w:ascii="宋体" w:eastAsia="宋体" w:hAnsi="宋体" w:cs="宋体"/>
          <w:color w:val="444444"/>
          <w:kern w:val="0"/>
          <w:szCs w:val="21"/>
        </w:rPr>
        <w:t>《非银行支付机构支付业务设施技术要求》规定了非银行支付机构支付业务设施的技术标准符合性和系统安全性相应级别的基本要求和增强要求，为非银行支付机构支付业务设施认证、检测提供了依据。标准适用于中华人民共和国境内的非银行支付机构。如无支付业务类型的特别说明，本标准条款适用于全部支付业务范围。</w:t>
      </w:r>
    </w:p>
    <w:p w:rsidR="00D03088" w:rsidRPr="00D03088" w:rsidRDefault="00D03088" w:rsidP="003166D5">
      <w:pPr>
        <w:widowControl/>
        <w:shd w:val="clear" w:color="auto" w:fill="FFFFFF"/>
        <w:spacing w:line="360" w:lineRule="auto"/>
        <w:ind w:firstLine="420"/>
        <w:rPr>
          <w:rFonts w:ascii="宋体" w:eastAsia="宋体" w:hAnsi="宋体" w:cs="宋体"/>
          <w:color w:val="444444"/>
          <w:kern w:val="0"/>
          <w:szCs w:val="21"/>
        </w:rPr>
      </w:pPr>
      <w:r w:rsidRPr="00D03088">
        <w:rPr>
          <w:rFonts w:ascii="宋体" w:eastAsia="宋体" w:hAnsi="宋体" w:cs="宋体"/>
          <w:color w:val="444444"/>
          <w:kern w:val="0"/>
          <w:szCs w:val="21"/>
        </w:rPr>
        <w:t>《非银行支付机构支付业务设施检测规范》（共6部分）基于《非银行支付机构支付业务设施技术要求》编制。检测目标是在系统版本确定的基础上，对非银行支付机构提供的 支付业务设施的功能、风险监控、性能、安全性进行测试，客观、公正地评估设施是否符合中国人民银行对支付业务设施的技术标准要求，</w:t>
      </w:r>
    </w:p>
    <w:p w:rsidR="00E37EF2" w:rsidRPr="003166D5" w:rsidRDefault="00D03088" w:rsidP="003166D5">
      <w:pPr>
        <w:widowControl/>
        <w:shd w:val="clear" w:color="auto" w:fill="FFFFFF"/>
        <w:spacing w:line="360" w:lineRule="auto"/>
        <w:ind w:firstLine="420"/>
        <w:rPr>
          <w:rFonts w:ascii="宋体" w:eastAsia="宋体" w:hAnsi="宋体" w:cs="宋体"/>
          <w:color w:val="444444"/>
          <w:kern w:val="0"/>
          <w:szCs w:val="21"/>
        </w:rPr>
      </w:pPr>
      <w:r w:rsidRPr="00D03088">
        <w:rPr>
          <w:rFonts w:ascii="宋体" w:eastAsia="宋体" w:hAnsi="宋体" w:cs="宋体"/>
          <w:color w:val="444444"/>
          <w:kern w:val="0"/>
          <w:szCs w:val="21"/>
        </w:rPr>
        <w:t>此两项标准由全国金融标准化技术委员会归口管理，由中国人民银行提出，中国人民银行科技司、北京中金国盛认证有限公司、中国信息安全认证中心、中国金融电子化公司、银行卡检测中心、上海市信息安全测评认证中心、中金金融认证中心有限公司、工业和信息化部计算机与微电子发展研究中心（中国软件评测中心）、北京软件产品质量检测检验中心（国家应用软件产品质量监督检验中心）等单位参与起草。标准经过广泛征求意见和论证，并通过了全国金融标准化技术委员会审查。</w:t>
      </w:r>
    </w:p>
    <w:sectPr w:rsidR="00E37EF2" w:rsidRPr="003166D5" w:rsidSect="004502D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49E3" w:rsidRDefault="00D849E3" w:rsidP="00D03088">
      <w:r>
        <w:separator/>
      </w:r>
    </w:p>
  </w:endnote>
  <w:endnote w:type="continuationSeparator" w:id="1">
    <w:p w:rsidR="00D849E3" w:rsidRDefault="00D849E3" w:rsidP="00D0308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49E3" w:rsidRDefault="00D849E3" w:rsidP="00D03088">
      <w:r>
        <w:separator/>
      </w:r>
    </w:p>
  </w:footnote>
  <w:footnote w:type="continuationSeparator" w:id="1">
    <w:p w:rsidR="00D849E3" w:rsidRDefault="00D849E3" w:rsidP="00D0308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03088"/>
    <w:rsid w:val="003166D5"/>
    <w:rsid w:val="004502D1"/>
    <w:rsid w:val="00D03088"/>
    <w:rsid w:val="00D849E3"/>
    <w:rsid w:val="00E37EF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02D1"/>
    <w:pPr>
      <w:widowControl w:val="0"/>
      <w:jc w:val="both"/>
    </w:pPr>
  </w:style>
  <w:style w:type="paragraph" w:styleId="1">
    <w:name w:val="heading 1"/>
    <w:basedOn w:val="a"/>
    <w:link w:val="1Char"/>
    <w:uiPriority w:val="9"/>
    <w:qFormat/>
    <w:rsid w:val="00D03088"/>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0308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03088"/>
    <w:rPr>
      <w:sz w:val="18"/>
      <w:szCs w:val="18"/>
    </w:rPr>
  </w:style>
  <w:style w:type="paragraph" w:styleId="a4">
    <w:name w:val="footer"/>
    <w:basedOn w:val="a"/>
    <w:link w:val="Char0"/>
    <w:uiPriority w:val="99"/>
    <w:semiHidden/>
    <w:unhideWhenUsed/>
    <w:rsid w:val="00D0308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03088"/>
    <w:rPr>
      <w:sz w:val="18"/>
      <w:szCs w:val="18"/>
    </w:rPr>
  </w:style>
  <w:style w:type="character" w:customStyle="1" w:styleId="1Char">
    <w:name w:val="标题 1 Char"/>
    <w:basedOn w:val="a0"/>
    <w:link w:val="1"/>
    <w:uiPriority w:val="9"/>
    <w:rsid w:val="00D03088"/>
    <w:rPr>
      <w:rFonts w:ascii="宋体" w:eastAsia="宋体" w:hAnsi="宋体" w:cs="宋体"/>
      <w:b/>
      <w:bCs/>
      <w:kern w:val="36"/>
      <w:sz w:val="48"/>
      <w:szCs w:val="48"/>
    </w:rPr>
  </w:style>
</w:styles>
</file>

<file path=word/webSettings.xml><?xml version="1.0" encoding="utf-8"?>
<w:webSettings xmlns:r="http://schemas.openxmlformats.org/officeDocument/2006/relationships" xmlns:w="http://schemas.openxmlformats.org/wordprocessingml/2006/main">
  <w:divs>
    <w:div w:id="76093709">
      <w:bodyDiv w:val="1"/>
      <w:marLeft w:val="0"/>
      <w:marRight w:val="0"/>
      <w:marTop w:val="0"/>
      <w:marBottom w:val="0"/>
      <w:divBdr>
        <w:top w:val="none" w:sz="0" w:space="0" w:color="auto"/>
        <w:left w:val="none" w:sz="0" w:space="0" w:color="auto"/>
        <w:bottom w:val="none" w:sz="0" w:space="0" w:color="auto"/>
        <w:right w:val="none" w:sz="0" w:space="0" w:color="auto"/>
      </w:divBdr>
      <w:divsChild>
        <w:div w:id="14576799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95</Words>
  <Characters>545</Characters>
  <Application>Microsoft Office Word</Application>
  <DocSecurity>0</DocSecurity>
  <Lines>4</Lines>
  <Paragraphs>1</Paragraphs>
  <ScaleCrop>false</ScaleCrop>
  <Company>Lenovo</Company>
  <LinksUpToDate>false</LinksUpToDate>
  <CharactersWithSpaces>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dc:creator>
  <cp:keywords/>
  <dc:description/>
  <cp:lastModifiedBy>le</cp:lastModifiedBy>
  <cp:revision>3</cp:revision>
  <dcterms:created xsi:type="dcterms:W3CDTF">2019-05-07T07:02:00Z</dcterms:created>
  <dcterms:modified xsi:type="dcterms:W3CDTF">2019-05-08T01:43:00Z</dcterms:modified>
</cp:coreProperties>
</file>