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黑体" w:hAnsi="黑体" w:eastAsia="黑体" w:cs="黑体"/>
          <w:sz w:val="40"/>
          <w:szCs w:val="40"/>
        </w:rPr>
      </w:pPr>
      <w:r>
        <w:rPr>
          <w:rFonts w:hint="eastAsia" w:ascii="黑体" w:hAnsi="黑体" w:eastAsia="黑体" w:cs="黑体"/>
          <w:sz w:val="40"/>
          <w:szCs w:val="40"/>
        </w:rPr>
        <w:t>中国人民银行办公厅关于支付机构客户</w:t>
      </w:r>
    </w:p>
    <w:p>
      <w:pPr>
        <w:jc w:val="center"/>
        <w:rPr>
          <w:rFonts w:hint="eastAsia" w:ascii="黑体" w:hAnsi="黑体" w:eastAsia="黑体" w:cs="黑体"/>
          <w:sz w:val="40"/>
          <w:szCs w:val="40"/>
        </w:rPr>
      </w:pPr>
      <w:bookmarkStart w:id="0" w:name="_GoBack"/>
      <w:bookmarkEnd w:id="0"/>
      <w:r>
        <w:rPr>
          <w:rFonts w:hint="eastAsia" w:ascii="黑体" w:hAnsi="黑体" w:eastAsia="黑体" w:cs="黑体"/>
          <w:sz w:val="40"/>
          <w:szCs w:val="40"/>
        </w:rPr>
        <w:t>备付金全部集中交存有关事宜的通知</w:t>
      </w:r>
    </w:p>
    <w:p>
      <w:pPr>
        <w:jc w:val="center"/>
        <w:rPr>
          <w:sz w:val="30"/>
          <w:szCs w:val="30"/>
        </w:rPr>
      </w:pPr>
      <w:r>
        <w:rPr>
          <w:rFonts w:hint="eastAsia"/>
          <w:sz w:val="30"/>
          <w:szCs w:val="30"/>
        </w:rPr>
        <w:t>银办发〔2018〕114号</w:t>
      </w:r>
    </w:p>
    <w:p>
      <w:pPr>
        <w:rPr>
          <w:sz w:val="30"/>
          <w:szCs w:val="30"/>
        </w:rPr>
      </w:pPr>
    </w:p>
    <w:p>
      <w:pPr>
        <w:keepNext w:val="0"/>
        <w:keepLines w:val="0"/>
        <w:pageBreakBefore w:val="0"/>
        <w:widowControl w:val="0"/>
        <w:kinsoku/>
        <w:wordWrap/>
        <w:overflowPunct/>
        <w:topLinePunct w:val="0"/>
        <w:autoSpaceDE/>
        <w:autoSpaceDN/>
        <w:bidi w:val="0"/>
        <w:adjustRightInd/>
        <w:snapToGrid/>
        <w:ind w:firstLine="600" w:firstLineChars="200"/>
        <w:textAlignment w:val="auto"/>
        <w:rPr>
          <w:sz w:val="30"/>
          <w:szCs w:val="30"/>
        </w:rPr>
      </w:pPr>
      <w:r>
        <w:rPr>
          <w:sz w:val="30"/>
          <w:szCs w:val="30"/>
        </w:rPr>
        <w:t>中国人民银行上海总部,各分行、营业管理部,各省会（首府）城市中心支行,各副省级城市中心支行；各国有商业银行、股份制商业银行,中国邮政储蓄银行；中国银联股份有限公司，网联清算有限公司；各非银行支付机构：</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sz w:val="30"/>
          <w:szCs w:val="30"/>
        </w:rPr>
      </w:pPr>
      <w:r>
        <w:rPr>
          <w:sz w:val="30"/>
          <w:szCs w:val="30"/>
        </w:rPr>
        <w:t>为贯彻落实党的十九大关于强化金融监管、防范金融风险的精神，按照党中央、国务院互联网金融风险专项整治工作部署，人民银行决定将支付机构客户备付金集中交存比例逐步提高至100%，现将有关事项通知如下：</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sz w:val="30"/>
          <w:szCs w:val="30"/>
        </w:rPr>
      </w:pPr>
      <w:r>
        <w:rPr>
          <w:sz w:val="30"/>
          <w:szCs w:val="30"/>
        </w:rPr>
        <w:t>一、自2018年7月9日起，按月逐步提高支付机构客户备付金集中交存比例，到2019年1月14日实现100%集中交存。交存时间为每月第二个星期一（遇节假日顺延），交存基数为上一个月客户备付金日均余额。跨境人民币备付金账户、基金销售结算专用账户、外汇备付金账户余额暂不计入交存基数（具体要求见附件1）。</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sz w:val="30"/>
          <w:szCs w:val="30"/>
        </w:rPr>
      </w:pPr>
      <w:r>
        <w:rPr>
          <w:sz w:val="30"/>
          <w:szCs w:val="30"/>
        </w:rPr>
        <w:t>二、为满足支付机构特定业务需求，支付机构可以在备付金银行持有相关业务专用账户。</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sz w:val="30"/>
          <w:szCs w:val="30"/>
        </w:rPr>
      </w:pPr>
      <w:r>
        <w:rPr>
          <w:sz w:val="30"/>
          <w:szCs w:val="30"/>
        </w:rPr>
        <w:t>（一）开展跨境人民币业务的支付机构，可以持有1个跨境人民币备付金账户，办理业务过程中，应遵守人民银行跨境人民币业务有关规定。</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sz w:val="30"/>
          <w:szCs w:val="30"/>
        </w:rPr>
      </w:pPr>
      <w:r>
        <w:rPr>
          <w:sz w:val="30"/>
          <w:szCs w:val="30"/>
        </w:rPr>
        <w:t>（二）提供基金销售支付服务的支付机构，可以持有1个基金销售结算专用账户，办理业务过程中，应遵守中国证券监督管理委员会有关规定。</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sz w:val="30"/>
          <w:szCs w:val="30"/>
        </w:rPr>
      </w:pPr>
      <w:r>
        <w:rPr>
          <w:sz w:val="30"/>
          <w:szCs w:val="30"/>
        </w:rPr>
        <w:t>（三）获准办理“预付卡发行与受理”业务的支付机构，可以持有1个备付金账户。该账户只能用于收取客户的购卡、充值等资金，账户内资金应于每个工作日大额支付系统业务截止前全部交存至人民银行“备付金集中存管账户”。</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sz w:val="30"/>
          <w:szCs w:val="30"/>
        </w:rPr>
      </w:pPr>
      <w:r>
        <w:rPr>
          <w:sz w:val="30"/>
          <w:szCs w:val="30"/>
        </w:rPr>
        <w:t>（四）外汇备付金账户的开立和使用，执行国家外汇管理局现行规定。</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sz w:val="30"/>
          <w:szCs w:val="30"/>
        </w:rPr>
      </w:pPr>
      <w:r>
        <w:rPr>
          <w:sz w:val="30"/>
          <w:szCs w:val="30"/>
        </w:rPr>
        <w:t>除上述跨境人民币备付金账户、基金销售结算专用账户、预付卡备付金账户和外汇备付金账户外，支付机构应于2019年1月14日前注销在商业银行的其余备付金账户。</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sz w:val="30"/>
          <w:szCs w:val="30"/>
        </w:rPr>
      </w:pPr>
      <w:r>
        <w:rPr>
          <w:sz w:val="30"/>
          <w:szCs w:val="30"/>
        </w:rPr>
        <w:t>三、自本通知发布之日起，支付机构应根据与中国银联股份有限公司或网联清算有限公司的业务对接情况，于2019年1月14日前在法人所在地人民银行分支机构开立“备付金集中存管账户”，并于开户之日起2个工作日内将原委托备付金存管银行开立的“备付金交存专户”销户（具体流程见附件2）。支付机构“备付金集中存管账户”的资金划转应当通过中国银联股份有限公司或网联清算有限公司办理。</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sz w:val="30"/>
          <w:szCs w:val="30"/>
        </w:rPr>
      </w:pPr>
      <w:r>
        <w:rPr>
          <w:sz w:val="30"/>
          <w:szCs w:val="30"/>
        </w:rPr>
        <w:t>四、中国银联股份有限公司和网联清算有限公司应根据客户备付金集中交存安排，支持商业银行和支付机构按期、有序接入，确保各项业务正常处理。</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sz w:val="30"/>
          <w:szCs w:val="30"/>
        </w:rPr>
      </w:pPr>
      <w:r>
        <w:rPr>
          <w:sz w:val="30"/>
          <w:szCs w:val="30"/>
        </w:rPr>
        <w:t>五、人民银行分支机构应根据本通知规定，指导辖区内支付机构、商业银行切实做好相关工作，鼓励、支持满足条件的支付机构提前执行，要求支付机构强化流动性管理，确保备付金集中交存工作稳妥、有序开展。</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sz w:val="30"/>
          <w:szCs w:val="30"/>
        </w:rPr>
      </w:pPr>
      <w:r>
        <w:rPr>
          <w:sz w:val="30"/>
          <w:szCs w:val="30"/>
        </w:rPr>
        <w:t>请人民银行分支机构将本通知转发至辖区内有客户备付金存管资质的商业银行。执行中如遇问题，请及时报告人民银行支付结算司。</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sz w:val="30"/>
          <w:szCs w:val="30"/>
        </w:rPr>
      </w:pPr>
    </w:p>
    <w:p>
      <w:pPr>
        <w:keepNext w:val="0"/>
        <w:keepLines w:val="0"/>
        <w:pageBreakBefore w:val="0"/>
        <w:widowControl w:val="0"/>
        <w:kinsoku/>
        <w:wordWrap/>
        <w:overflowPunct/>
        <w:topLinePunct w:val="0"/>
        <w:autoSpaceDE/>
        <w:autoSpaceDN/>
        <w:bidi w:val="0"/>
        <w:adjustRightInd/>
        <w:snapToGrid/>
        <w:ind w:firstLine="600" w:firstLineChars="200"/>
        <w:textAlignment w:val="auto"/>
        <w:rPr>
          <w:sz w:val="30"/>
          <w:szCs w:val="30"/>
        </w:rPr>
      </w:pPr>
      <w:r>
        <w:rPr>
          <w:rFonts w:hint="eastAsia"/>
          <w:sz w:val="30"/>
          <w:szCs w:val="30"/>
        </w:rPr>
        <w:t>附件：1.支付机构客户备付金集中交存安排</w:t>
      </w:r>
    </w:p>
    <w:p>
      <w:pPr>
        <w:keepNext w:val="0"/>
        <w:keepLines w:val="0"/>
        <w:pageBreakBefore w:val="0"/>
        <w:widowControl w:val="0"/>
        <w:kinsoku/>
        <w:wordWrap/>
        <w:overflowPunct/>
        <w:topLinePunct w:val="0"/>
        <w:autoSpaceDE/>
        <w:autoSpaceDN/>
        <w:bidi w:val="0"/>
        <w:adjustRightInd/>
        <w:snapToGrid/>
        <w:ind w:firstLine="600" w:firstLineChars="200"/>
        <w:textAlignment w:val="auto"/>
        <w:rPr>
          <w:rFonts w:hint="eastAsia"/>
          <w:sz w:val="30"/>
          <w:szCs w:val="30"/>
        </w:rPr>
      </w:pPr>
      <w:r>
        <w:rPr>
          <w:rFonts w:hint="eastAsia"/>
          <w:sz w:val="30"/>
          <w:szCs w:val="30"/>
        </w:rPr>
        <w:t xml:space="preserve">      2.支付机构备付金集中存管账户开立流程</w:t>
      </w:r>
    </w:p>
    <w:p>
      <w:pPr>
        <w:rPr>
          <w:sz w:val="30"/>
          <w:szCs w:val="30"/>
        </w:rPr>
      </w:pPr>
      <w:r>
        <w:rPr>
          <w:sz w:val="30"/>
          <w:szCs w:val="30"/>
        </w:rPr>
        <w:drawing>
          <wp:inline distT="0" distB="0" distL="0" distR="0">
            <wp:extent cx="5274310" cy="7456805"/>
            <wp:effectExtent l="19050" t="0" r="2540" b="0"/>
            <wp:docPr id="10" name="图片 10" descr="http://www.jspcsa.com/uploadfile/images/2018/0711/20180711110727wpsD429.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http://www.jspcsa.com/uploadfile/images/2018/0711/20180711110727wpsD429.tmp.png"/>
                    <pic:cNvPicPr>
                      <a:picLocks noChangeAspect="1" noChangeArrowheads="1"/>
                    </pic:cNvPicPr>
                  </pic:nvPicPr>
                  <pic:blipFill>
                    <a:blip r:embed="rId4"/>
                    <a:srcRect/>
                    <a:stretch>
                      <a:fillRect/>
                    </a:stretch>
                  </pic:blipFill>
                  <pic:spPr>
                    <a:xfrm>
                      <a:off x="0" y="0"/>
                      <a:ext cx="5274310" cy="7457288"/>
                    </a:xfrm>
                    <a:prstGeom prst="rect">
                      <a:avLst/>
                    </a:prstGeom>
                    <a:noFill/>
                    <a:ln w="9525">
                      <a:noFill/>
                      <a:miter lim="800000"/>
                      <a:headEnd/>
                      <a:tailEnd/>
                    </a:ln>
                  </pic:spPr>
                </pic:pic>
              </a:graphicData>
            </a:graphic>
          </wp:inline>
        </w:drawing>
      </w:r>
      <w:r>
        <w:rPr>
          <w:sz w:val="30"/>
          <w:szCs w:val="30"/>
        </w:rPr>
        <w:drawing>
          <wp:inline distT="0" distB="0" distL="0" distR="0">
            <wp:extent cx="5274310" cy="7456805"/>
            <wp:effectExtent l="19050" t="0" r="2540" b="0"/>
            <wp:docPr id="13" name="图片 13" descr="http://www.jspcsa.com/uploadfile/images/2018/0711/20180711110727wpsD43B.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http://www.jspcsa.com/uploadfile/images/2018/0711/20180711110727wpsD43B.tmp.png"/>
                    <pic:cNvPicPr>
                      <a:picLocks noChangeAspect="1" noChangeArrowheads="1"/>
                    </pic:cNvPicPr>
                  </pic:nvPicPr>
                  <pic:blipFill>
                    <a:blip r:embed="rId5"/>
                    <a:srcRect/>
                    <a:stretch>
                      <a:fillRect/>
                    </a:stretch>
                  </pic:blipFill>
                  <pic:spPr>
                    <a:xfrm>
                      <a:off x="0" y="0"/>
                      <a:ext cx="5274310" cy="7457288"/>
                    </a:xfrm>
                    <a:prstGeom prst="rect">
                      <a:avLst/>
                    </a:prstGeom>
                    <a:noFill/>
                    <a:ln w="9525">
                      <a:noFill/>
                      <a:miter lim="800000"/>
                      <a:headEnd/>
                      <a:tailEnd/>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573C6E60"/>
    <w:rsid w:val="001501DF"/>
    <w:rsid w:val="001B7085"/>
    <w:rsid w:val="005E6337"/>
    <w:rsid w:val="00934C0C"/>
    <w:rsid w:val="00BC69BA"/>
    <w:rsid w:val="00CF21E6"/>
    <w:rsid w:val="00EE2FD1"/>
    <w:rsid w:val="573C6E60"/>
    <w:rsid w:val="62D5159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7">
    <w:name w:val="Default Paragraph Font"/>
    <w:semiHidden/>
    <w:unhideWhenUsed/>
    <w:uiPriority w:val="1"/>
  </w:style>
  <w:style w:type="table" w:default="1" w:styleId="6">
    <w:name w:val="Normal Table"/>
    <w:semiHidden/>
    <w:unhideWhenUsed/>
    <w:qFormat/>
    <w:uiPriority w:val="99"/>
    <w:tblPr>
      <w:tblLayout w:type="fixed"/>
      <w:tblCellMar>
        <w:top w:w="0" w:type="dxa"/>
        <w:left w:w="108" w:type="dxa"/>
        <w:bottom w:w="0" w:type="dxa"/>
        <w:right w:w="108" w:type="dxa"/>
      </w:tblCellMar>
    </w:tblPr>
  </w:style>
  <w:style w:type="paragraph" w:styleId="2">
    <w:name w:val="Balloon Text"/>
    <w:basedOn w:val="1"/>
    <w:link w:val="14"/>
    <w:uiPriority w:val="0"/>
    <w:rPr>
      <w:sz w:val="18"/>
      <w:szCs w:val="18"/>
    </w:rPr>
  </w:style>
  <w:style w:type="paragraph" w:styleId="3">
    <w:name w:val="footer"/>
    <w:basedOn w:val="1"/>
    <w:link w:val="13"/>
    <w:uiPriority w:val="0"/>
    <w:pPr>
      <w:tabs>
        <w:tab w:val="center" w:pos="4153"/>
        <w:tab w:val="right" w:pos="8306"/>
      </w:tabs>
      <w:snapToGrid w:val="0"/>
      <w:jc w:val="left"/>
    </w:pPr>
    <w:rPr>
      <w:sz w:val="18"/>
      <w:szCs w:val="18"/>
    </w:rPr>
  </w:style>
  <w:style w:type="paragraph" w:styleId="4">
    <w:name w:val="header"/>
    <w:basedOn w:val="1"/>
    <w:link w:val="12"/>
    <w:uiPriority w:val="0"/>
    <w:pPr>
      <w:pBdr>
        <w:bottom w:val="single" w:color="auto" w:sz="6" w:space="1"/>
      </w:pBdr>
      <w:tabs>
        <w:tab w:val="center" w:pos="4153"/>
        <w:tab w:val="right" w:pos="8306"/>
      </w:tabs>
      <w:snapToGrid w:val="0"/>
      <w:jc w:val="center"/>
    </w:pPr>
    <w:rPr>
      <w:sz w:val="18"/>
      <w:szCs w:val="18"/>
    </w:rPr>
  </w:style>
  <w:style w:type="paragraph" w:styleId="5">
    <w:name w:val="Normal (Web)"/>
    <w:basedOn w:val="1"/>
    <w:qFormat/>
    <w:uiPriority w:val="0"/>
    <w:pPr>
      <w:jc w:val="left"/>
    </w:pPr>
    <w:rPr>
      <w:rFonts w:cs="Times New Roman"/>
      <w:kern w:val="0"/>
      <w:sz w:val="24"/>
    </w:rPr>
  </w:style>
  <w:style w:type="character" w:styleId="8">
    <w:name w:val="FollowedHyperlink"/>
    <w:basedOn w:val="7"/>
    <w:uiPriority w:val="0"/>
    <w:rPr>
      <w:color w:val="800080"/>
      <w:u w:val="none"/>
    </w:rPr>
  </w:style>
  <w:style w:type="character" w:styleId="9">
    <w:name w:val="Emphasis"/>
    <w:basedOn w:val="7"/>
    <w:qFormat/>
    <w:uiPriority w:val="0"/>
  </w:style>
  <w:style w:type="character" w:styleId="10">
    <w:name w:val="Hyperlink"/>
    <w:basedOn w:val="7"/>
    <w:uiPriority w:val="0"/>
    <w:rPr>
      <w:color w:val="0000FF"/>
      <w:u w:val="none"/>
    </w:rPr>
  </w:style>
  <w:style w:type="character" w:customStyle="1" w:styleId="11">
    <w:name w:val="bjh-strong3"/>
    <w:basedOn w:val="7"/>
    <w:uiPriority w:val="0"/>
    <w:rPr>
      <w:color w:val="999999"/>
    </w:rPr>
  </w:style>
  <w:style w:type="character" w:customStyle="1" w:styleId="12">
    <w:name w:val="页眉 Char"/>
    <w:basedOn w:val="7"/>
    <w:link w:val="4"/>
    <w:uiPriority w:val="0"/>
    <w:rPr>
      <w:rFonts w:asciiTheme="minorHAnsi" w:hAnsiTheme="minorHAnsi" w:eastAsiaTheme="minorEastAsia" w:cstheme="minorBidi"/>
      <w:kern w:val="2"/>
      <w:sz w:val="18"/>
      <w:szCs w:val="18"/>
    </w:rPr>
  </w:style>
  <w:style w:type="character" w:customStyle="1" w:styleId="13">
    <w:name w:val="页脚 Char"/>
    <w:basedOn w:val="7"/>
    <w:link w:val="3"/>
    <w:uiPriority w:val="0"/>
    <w:rPr>
      <w:rFonts w:asciiTheme="minorHAnsi" w:hAnsiTheme="minorHAnsi" w:eastAsiaTheme="minorEastAsia" w:cstheme="minorBidi"/>
      <w:kern w:val="2"/>
      <w:sz w:val="18"/>
      <w:szCs w:val="18"/>
    </w:rPr>
  </w:style>
  <w:style w:type="character" w:customStyle="1" w:styleId="14">
    <w:name w:val="批注框文本 Char"/>
    <w:basedOn w:val="7"/>
    <w:link w:val="2"/>
    <w:uiPriority w:val="0"/>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Lenovo</Company>
  <Pages>1</Pages>
  <Words>183</Words>
  <Characters>1049</Characters>
  <Lines>8</Lines>
  <Paragraphs>2</Paragraphs>
  <TotalTime>3</TotalTime>
  <ScaleCrop>false</ScaleCrop>
  <LinksUpToDate>false</LinksUpToDate>
  <CharactersWithSpaces>1230</CharactersWithSpaces>
  <Application>WPS Office_11.1.0.8806_F1E327BC-269C-435d-A152-05C5408002CA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2019-05-08T00:43:00Z</dcterms:created>
  <dc:creator>lenovo</dc:creator>
  <cp:lastModifiedBy>lenovo</cp:lastModifiedBy>
  <dcterms:modified xsi:type="dcterms:W3CDTF">2019-06-28T08:47:08Z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2052-11.1.0.8806</vt:lpwstr>
  </property>
</Properties>
</file>