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0" w:beforeAutospacing="0" w:after="0" w:afterAutospacing="0" w:line="360" w:lineRule="auto"/>
        <w:jc w:val="center"/>
        <w:rPr>
          <w:rFonts w:hint="eastAsia" w:ascii="黑体" w:hAnsi="黑体" w:eastAsia="黑体" w:cs="黑体"/>
          <w:b w:val="0"/>
          <w:bCs/>
          <w:sz w:val="40"/>
          <w:szCs w:val="40"/>
        </w:rPr>
      </w:pPr>
      <w:r>
        <w:rPr>
          <w:rStyle w:val="10"/>
          <w:rFonts w:hint="eastAsia" w:ascii="黑体" w:hAnsi="黑体" w:eastAsia="黑体" w:cs="黑体"/>
          <w:b w:val="0"/>
          <w:bCs/>
          <w:sz w:val="40"/>
          <w:szCs w:val="40"/>
        </w:rPr>
        <w:t>中国人民银行关于印发《非银行支付机构大额交易报告要素及释义》的通知</w:t>
      </w:r>
    </w:p>
    <w:p>
      <w:pPr>
        <w:pStyle w:val="7"/>
        <w:widowControl/>
        <w:spacing w:before="0" w:beforeAutospacing="0" w:after="0" w:afterAutospacing="0" w:line="360" w:lineRule="auto"/>
        <w:jc w:val="center"/>
        <w:rPr>
          <w:rFonts w:ascii="宋体" w:hAnsi="宋体"/>
          <w:b/>
          <w:sz w:val="30"/>
          <w:szCs w:val="30"/>
        </w:rPr>
      </w:pPr>
      <w:r>
        <w:rPr>
          <w:rStyle w:val="10"/>
          <w:rFonts w:ascii="宋体" w:hAnsi="宋体"/>
          <w:b w:val="0"/>
          <w:sz w:val="30"/>
          <w:szCs w:val="30"/>
        </w:rPr>
        <w:t>银发</w:t>
      </w:r>
      <w:r>
        <w:rPr>
          <w:rStyle w:val="10"/>
          <w:rFonts w:hint="eastAsia" w:ascii="宋体" w:hAnsi="宋体"/>
          <w:b w:val="0"/>
          <w:sz w:val="30"/>
          <w:szCs w:val="30"/>
        </w:rPr>
        <w:t>〔201</w:t>
      </w:r>
      <w:r>
        <w:rPr>
          <w:rStyle w:val="10"/>
          <w:rFonts w:hint="eastAsia" w:ascii="宋体" w:hAnsi="宋体"/>
          <w:b w:val="0"/>
          <w:sz w:val="30"/>
          <w:szCs w:val="30"/>
          <w:lang w:val="en-US" w:eastAsia="zh-CN"/>
        </w:rPr>
        <w:t>8</w:t>
      </w:r>
      <w:r>
        <w:rPr>
          <w:rStyle w:val="10"/>
          <w:rFonts w:hint="eastAsia" w:ascii="宋体" w:hAnsi="宋体"/>
          <w:b w:val="0"/>
          <w:sz w:val="30"/>
          <w:szCs w:val="30"/>
        </w:rPr>
        <w:t>〕</w:t>
      </w:r>
      <w:bookmarkStart w:id="0" w:name="_GoBack"/>
      <w:bookmarkEnd w:id="0"/>
      <w:r>
        <w:rPr>
          <w:rStyle w:val="10"/>
          <w:rFonts w:ascii="宋体" w:hAnsi="宋体"/>
          <w:b w:val="0"/>
          <w:sz w:val="30"/>
          <w:szCs w:val="30"/>
        </w:rPr>
        <w:t>349号</w:t>
      </w:r>
    </w:p>
    <w:p>
      <w:pPr>
        <w:pStyle w:val="7"/>
        <w:widowControl/>
        <w:spacing w:before="0" w:beforeAutospacing="0" w:after="0" w:afterAutospacing="0" w:line="360" w:lineRule="auto"/>
        <w:rPr>
          <w:rFonts w:ascii="宋体" w:hAnsi="宋体"/>
          <w:sz w:val="30"/>
          <w:szCs w:val="30"/>
        </w:rPr>
      </w:pPr>
    </w:p>
    <w:p>
      <w:pPr>
        <w:pStyle w:val="7"/>
        <w:widowControl/>
        <w:spacing w:before="0" w:beforeAutospacing="0" w:after="0" w:afterAutospacing="0" w:line="360" w:lineRule="auto"/>
        <w:rPr>
          <w:rFonts w:ascii="宋体" w:hAnsi="宋体"/>
          <w:sz w:val="30"/>
          <w:szCs w:val="30"/>
        </w:rPr>
      </w:pPr>
      <w:r>
        <w:rPr>
          <w:rFonts w:ascii="宋体" w:hAnsi="宋体"/>
          <w:sz w:val="30"/>
          <w:szCs w:val="30"/>
        </w:rPr>
        <w:t>中国人民银行上海总部，各分行、营业管理部，各省会（首府）城市中心支行，各副省级城市中心支行：</w:t>
      </w:r>
    </w:p>
    <w:p>
      <w:pPr>
        <w:pStyle w:val="7"/>
        <w:widowControl/>
        <w:spacing w:before="0" w:beforeAutospacing="0" w:after="0" w:afterAutospacing="0" w:line="360" w:lineRule="auto"/>
        <w:ind w:firstLine="600" w:firstLineChars="200"/>
        <w:rPr>
          <w:rFonts w:hint="eastAsia" w:ascii="宋体" w:hAnsi="宋体"/>
          <w:sz w:val="30"/>
          <w:szCs w:val="30"/>
        </w:rPr>
      </w:pPr>
      <w:r>
        <w:rPr>
          <w:rFonts w:ascii="宋体" w:hAnsi="宋体"/>
          <w:sz w:val="30"/>
          <w:szCs w:val="30"/>
        </w:rPr>
        <w:t>为落实《金融机构大额交易和可疑交易报告管理办法》（中国人民银行令〔2016〕第3号发布）和《中国人民银行关于非银行支付机构开展大额交易报告工作有关要求的通知》（银发〔2018〕163号）要求，结合非银行支付机构业务特点，现将《非银行支付机构大额交易报告要素及释义》印发给你们，请遵照执行。</w:t>
      </w:r>
    </w:p>
    <w:p>
      <w:pPr>
        <w:pStyle w:val="7"/>
        <w:widowControl/>
        <w:spacing w:before="0" w:beforeAutospacing="0" w:after="0" w:afterAutospacing="0" w:line="360" w:lineRule="auto"/>
        <w:ind w:firstLine="600" w:firstLineChars="200"/>
        <w:rPr>
          <w:rFonts w:ascii="宋体" w:hAnsi="宋体"/>
          <w:sz w:val="30"/>
          <w:szCs w:val="30"/>
        </w:rPr>
      </w:pPr>
      <w:r>
        <w:rPr>
          <w:rFonts w:ascii="宋体" w:hAnsi="宋体"/>
          <w:sz w:val="30"/>
          <w:szCs w:val="30"/>
        </w:rPr>
        <w:t>请人民银行分支机构将本通知转发至总部注册地在辖区内的非银行支付机构，并指导各非银行支付机构做好数据报送准备工作。</w:t>
      </w:r>
    </w:p>
    <w:p>
      <w:pPr>
        <w:pStyle w:val="7"/>
        <w:widowControl/>
        <w:spacing w:before="0" w:beforeAutospacing="0" w:after="0" w:afterAutospacing="0" w:line="360" w:lineRule="auto"/>
        <w:ind w:firstLine="600" w:firstLineChars="200"/>
        <w:rPr>
          <w:rFonts w:ascii="宋体" w:hAnsi="宋体"/>
          <w:sz w:val="30"/>
          <w:szCs w:val="30"/>
        </w:rPr>
      </w:pPr>
      <w:r>
        <w:rPr>
          <w:rFonts w:ascii="宋体" w:hAnsi="宋体"/>
          <w:sz w:val="30"/>
          <w:szCs w:val="30"/>
        </w:rPr>
        <w:t>附件：非银行支付机构大额交易报告要素及释义</w:t>
      </w:r>
    </w:p>
    <w:p>
      <w:pPr>
        <w:pStyle w:val="7"/>
        <w:widowControl/>
        <w:spacing w:before="0" w:beforeAutospacing="0" w:after="0" w:afterAutospacing="0" w:line="360" w:lineRule="auto"/>
        <w:ind w:firstLine="600" w:firstLineChars="200"/>
        <w:rPr>
          <w:rFonts w:ascii="宋体" w:hAnsi="宋体"/>
          <w:sz w:val="30"/>
          <w:szCs w:val="30"/>
        </w:rPr>
      </w:pPr>
    </w:p>
    <w:p>
      <w:pPr>
        <w:pStyle w:val="7"/>
        <w:widowControl/>
        <w:spacing w:before="0" w:beforeAutospacing="0" w:after="0" w:afterAutospacing="0" w:line="360" w:lineRule="auto"/>
        <w:jc w:val="right"/>
        <w:rPr>
          <w:rFonts w:ascii="宋体" w:hAnsi="宋体"/>
          <w:sz w:val="30"/>
          <w:szCs w:val="30"/>
        </w:rPr>
      </w:pPr>
      <w:r>
        <w:rPr>
          <w:rFonts w:ascii="宋体" w:hAnsi="宋体"/>
          <w:sz w:val="30"/>
          <w:szCs w:val="30"/>
        </w:rPr>
        <w:t>中国人民银行</w:t>
      </w:r>
    </w:p>
    <w:p>
      <w:pPr>
        <w:pStyle w:val="7"/>
        <w:widowControl/>
        <w:spacing w:before="0" w:beforeAutospacing="0" w:after="0" w:afterAutospacing="0" w:line="360" w:lineRule="auto"/>
        <w:jc w:val="right"/>
        <w:rPr>
          <w:rFonts w:hint="eastAsia" w:ascii="宋体" w:hAnsi="宋体"/>
          <w:sz w:val="30"/>
          <w:szCs w:val="30"/>
        </w:rPr>
      </w:pPr>
      <w:r>
        <w:rPr>
          <w:rFonts w:ascii="宋体" w:hAnsi="宋体"/>
          <w:sz w:val="30"/>
          <w:szCs w:val="30"/>
        </w:rPr>
        <w:t>2018年12月29日</w:t>
      </w:r>
    </w:p>
    <w:p>
      <w:pPr>
        <w:pStyle w:val="7"/>
        <w:widowControl/>
        <w:spacing w:before="0" w:beforeAutospacing="0" w:after="0" w:afterAutospacing="0" w:line="360" w:lineRule="auto"/>
        <w:ind w:firstLine="420" w:firstLineChars="200"/>
        <w:rPr>
          <w:rFonts w:hint="eastAsia" w:ascii="宋体" w:hAnsi="宋体"/>
          <w:sz w:val="21"/>
          <w:szCs w:val="21"/>
        </w:rPr>
      </w:pPr>
    </w:p>
    <w:p>
      <w:pPr>
        <w:rPr>
          <w:rFonts w:ascii="宋体" w:hAnsi="宋体"/>
          <w:sz w:val="21"/>
          <w:szCs w:val="21"/>
        </w:rPr>
      </w:pPr>
      <w:r>
        <w:rPr>
          <w:rFonts w:ascii="宋体" w:hAnsi="宋体"/>
          <w:sz w:val="21"/>
          <w:szCs w:val="21"/>
        </w:rPr>
        <w:br w:type="page"/>
      </w:r>
    </w:p>
    <w:tbl>
      <w:tblPr>
        <w:tblStyle w:val="8"/>
        <w:tblpPr w:leftFromText="180" w:rightFromText="180" w:vertAnchor="text" w:horzAnchor="margin" w:tblpXSpec="center" w:tblpY="371"/>
        <w:tblW w:w="8522" w:type="dxa"/>
        <w:tblInd w:w="0" w:type="dxa"/>
        <w:tblLayout w:type="fixed"/>
        <w:tblCellMar>
          <w:top w:w="0" w:type="dxa"/>
          <w:left w:w="108" w:type="dxa"/>
          <w:bottom w:w="0" w:type="dxa"/>
          <w:right w:w="108" w:type="dxa"/>
        </w:tblCellMar>
      </w:tblPr>
      <w:tblGrid>
        <w:gridCol w:w="418"/>
        <w:gridCol w:w="2616"/>
        <w:gridCol w:w="5488"/>
      </w:tblGrid>
      <w:tr>
        <w:tblPrEx>
          <w:tblLayout w:type="fixed"/>
          <w:tblCellMar>
            <w:top w:w="0" w:type="dxa"/>
            <w:left w:w="108" w:type="dxa"/>
            <w:bottom w:w="0" w:type="dxa"/>
            <w:right w:w="108" w:type="dxa"/>
          </w:tblCellMar>
        </w:tblPrEx>
        <w:trPr>
          <w:trHeight w:val="615" w:hRule="atLeast"/>
        </w:trPr>
        <w:tc>
          <w:tcPr>
            <w:tcW w:w="8522" w:type="dxa"/>
            <w:gridSpan w:val="3"/>
            <w:tcBorders>
              <w:top w:val="nil"/>
              <w:left w:val="nil"/>
              <w:bottom w:val="nil"/>
              <w:right w:val="nil"/>
            </w:tcBorders>
            <w:shd w:val="clear" w:color="auto" w:fill="auto"/>
            <w:noWrap/>
            <w:vAlign w:val="center"/>
          </w:tcPr>
          <w:p>
            <w:pPr>
              <w:widowControl/>
              <w:jc w:val="left"/>
              <w:rPr>
                <w:rFonts w:ascii="黑体" w:hAnsi="黑体" w:eastAsia="黑体" w:cs="宋体"/>
                <w:b/>
                <w:bCs/>
                <w:color w:val="000000"/>
                <w:kern w:val="0"/>
                <w:sz w:val="20"/>
                <w:szCs w:val="20"/>
              </w:rPr>
            </w:pPr>
            <w:r>
              <w:rPr>
                <w:rFonts w:hint="eastAsia" w:ascii="黑体" w:hAnsi="黑体" w:eastAsia="黑体" w:cs="宋体"/>
                <w:b/>
                <w:bCs/>
                <w:color w:val="000000"/>
                <w:kern w:val="0"/>
                <w:sz w:val="20"/>
                <w:szCs w:val="20"/>
              </w:rPr>
              <w:t>附件</w:t>
            </w:r>
          </w:p>
        </w:tc>
      </w:tr>
      <w:tr>
        <w:tblPrEx>
          <w:tblLayout w:type="fixed"/>
          <w:tblCellMar>
            <w:top w:w="0" w:type="dxa"/>
            <w:left w:w="108" w:type="dxa"/>
            <w:bottom w:w="0" w:type="dxa"/>
            <w:right w:w="108" w:type="dxa"/>
          </w:tblCellMar>
        </w:tblPrEx>
        <w:trPr>
          <w:trHeight w:val="525" w:hRule="atLeast"/>
        </w:trPr>
        <w:tc>
          <w:tcPr>
            <w:tcW w:w="8522" w:type="dxa"/>
            <w:gridSpan w:val="3"/>
            <w:tcBorders>
              <w:top w:val="nil"/>
              <w:left w:val="nil"/>
              <w:bottom w:val="single" w:color="auto" w:sz="4" w:space="0"/>
              <w:right w:val="nil"/>
            </w:tcBorders>
            <w:shd w:val="clear" w:color="auto" w:fill="auto"/>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非银行支付机构大额交易报告要素及释义</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编号</w:t>
            </w:r>
          </w:p>
        </w:tc>
        <w:tc>
          <w:tcPr>
            <w:tcW w:w="2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要素名称</w:t>
            </w:r>
          </w:p>
        </w:tc>
        <w:tc>
          <w:tcPr>
            <w:tcW w:w="548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释义备注说明</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报告机构名称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非银行支付机构总部名称。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报告机构所在地区编码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非银行支付机构总部注册地的行政区划代码表。</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报告机构分支机构(网点)代码</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发生大额交易的非银行支付机构网点代码，该代码应事先报备中国反洗钱监测分析中心。</w:t>
            </w:r>
          </w:p>
        </w:tc>
      </w:tr>
      <w:tr>
        <w:tblPrEx>
          <w:tblLayout w:type="fixed"/>
          <w:tblCellMar>
            <w:top w:w="0" w:type="dxa"/>
            <w:left w:w="108" w:type="dxa"/>
            <w:bottom w:w="0" w:type="dxa"/>
            <w:right w:w="108" w:type="dxa"/>
          </w:tblCellMar>
        </w:tblPrEx>
        <w:trPr>
          <w:trHeight w:val="72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客户名称(姓名)</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账户（或卡）持有人的名称或姓名的全称，包括中文或外文。交易不通过账户（或卡）办理时，填写客户办理业务时所持有效身份证件或证明文件记载的名称或姓名的全称。</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客户身份证件(证明文件)类型</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按照国家反洗钱法律、法规和中国人民银行规章的有关规定，对客户进行身份识别时记载的有效身份证件或证明文件的种类。</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客户身份证件(证明文件)号码</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按照国家反洗钱法律、法规和中国人民银行规章的有关规定，对客户进行身份识别时记载的有效身份证件或证明文件的号码。</w:t>
            </w:r>
          </w:p>
        </w:tc>
      </w:tr>
      <w:tr>
        <w:tblPrEx>
          <w:tblLayout w:type="fixed"/>
          <w:tblCellMar>
            <w:top w:w="0" w:type="dxa"/>
            <w:left w:w="108" w:type="dxa"/>
            <w:bottom w:w="0" w:type="dxa"/>
            <w:right w:w="108" w:type="dxa"/>
          </w:tblCellMar>
        </w:tblPrEx>
        <w:trPr>
          <w:trHeight w:val="72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客户号</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一个交易主体在报告机构内有且只有一个编号，客户号是在报告机构内识别客户唯一性的业务主键，即便存在不同的证件类型和证件号码，同一客户号仍然标识同一交易主体。</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客户职业(行业)类别</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按照国家反洗钱法律、法规和中国人民银行规章的有关规定，对客户进行身份识别时记载的职业或主营业务类别。</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客户住址及有效联系方式</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包括联系电话、常住（邮寄）地址和其他联系方式、不同联系方式用“，”分割。</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客户国籍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客户有效身份证件或证明文件中所载国籍或注册地所属国。</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法定代表人姓名（对公客户）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对公客户有效证件载明的法定代表人姓名的全称。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法定代表人身份证件号码（对公客户）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对公客户有效证件的号码。</w:t>
            </w:r>
          </w:p>
        </w:tc>
      </w:tr>
      <w:tr>
        <w:tblPrEx>
          <w:tblLayout w:type="fixed"/>
          <w:tblCellMar>
            <w:top w:w="0" w:type="dxa"/>
            <w:left w:w="108" w:type="dxa"/>
            <w:bottom w:w="0" w:type="dxa"/>
            <w:right w:w="108" w:type="dxa"/>
          </w:tblCellMar>
        </w:tblPrEx>
        <w:trPr>
          <w:trHeight w:val="144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13</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法定代表人身份证件类型（对公客户）</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照国家反洗钱法律、法规和中国人民银行规章的有关规定，对客户进行身份识别时记载的有效身份证件或证明文件的种类，填写选项包括：居民身份证或临时身份证、军人或武警身份证件、港澳居民往来内地身份通行证、台湾居民来往大陆通行证或其他有效旅行证件、外国公民护照、其他类个人身份有效证件（若选择此项，报告机构应对其个人证件类型做进一步说明）、组织机构代码、其他类机构代码（若选择此项，报告机构应对其证件类型做进一步说明）。</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客户的银行账户类型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交易使用的银行账户类型。</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客户的银行账号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交易使用的银行账户号码。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客户银行账号的开户银行名称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客户的银行账号所对应的开户银行全称。</w:t>
            </w:r>
          </w:p>
        </w:tc>
      </w:tr>
      <w:tr>
        <w:tblPrEx>
          <w:tblLayout w:type="fixed"/>
          <w:tblCellMar>
            <w:top w:w="0" w:type="dxa"/>
            <w:left w:w="108" w:type="dxa"/>
            <w:bottom w:w="0" w:type="dxa"/>
            <w:right w:w="108" w:type="dxa"/>
          </w:tblCellMar>
        </w:tblPrEx>
        <w:trPr>
          <w:trHeight w:val="96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17</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客户支付账户类型</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客户在非银行支付机构开立的支付账户类型，包括：</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1.单位支付账户</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2.个人支付账户</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如果是预付卡业务，账户种类填写替代符。</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18</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客户支付账号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客户在非银行支付机构开立的支付账户号码。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19</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客户开户时间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交易使用的支付账号的开户时间。</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客户所在非银行支付机构的名称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客户所使用支付账号对应的非银行支付机构全称。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21</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客户所在非银行支付机构的银行账号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客户所在非银行支付机构在银行开立的账户。</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22</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客户所在非银行支付机构银行账号的开户</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银行名称</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客户所在非银行支付机构在银行开立的账户对应的开户银行全称。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23</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大额交易特征代码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交易所符合的具体类型。</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24</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代办人姓名</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代理客户办理交易时所持有效身份证件或证明文件记载的姓名或名称的全称，包括中文或外文。</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代办人身份证件(证明文件)类型</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按照国家反洗钱法律、法规和中国人民银行规章的有关规定，对代办人进行身份识别时记载的有效身份证件或证明文件的种类。</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26</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代办人身份证件(证明文件)号码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与代办人有效身份证件(证明文件)类型对应的证件号码。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27</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代办人国籍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代办人有效身份证件或证明文件中所载国籍或注册地所属国。</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28</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客户的交易 IP 地址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填写资金划转时所对应的 IP 地址。</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29</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交易时间（精确到“秒”）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交易实际发生的时间。按照年、月、日、时、分、秒的格式规范填写。</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30</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交易发生地</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当交易方式是现钞类交易时，按真实交易发生地填写。当交易方式是转账类交易时，如果是柜台交易，按柜台交易发生地填写；如果是非柜台交易填写指令发出的地址。</w:t>
            </w:r>
          </w:p>
        </w:tc>
      </w:tr>
      <w:tr>
        <w:tblPrEx>
          <w:tblLayout w:type="fixed"/>
          <w:tblCellMar>
            <w:top w:w="0" w:type="dxa"/>
            <w:left w:w="108" w:type="dxa"/>
            <w:bottom w:w="0" w:type="dxa"/>
            <w:right w:w="108" w:type="dxa"/>
          </w:tblCellMar>
        </w:tblPrEx>
        <w:trPr>
          <w:trHeight w:val="576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31</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货币资金转移方式</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填写选项包括：</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一、向支付账户充值</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0000.通过银行账户</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0001.通过仅限线上实名支付账户充值的预付卡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二、网络支付业务，区分具体业务和资金转移方式分两部分填写，第一部分：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01.互联网支付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02.移动电话支付、固定电话支付、数据电视支付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第二部分：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00.付款方银行账户向收款方银行账户转出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01.付款方银行账户向收款方支付账户转出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02.付款方支付账户向收款方支付账户转出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03.付款方支付账户向收款方银行账户转出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三、0300.从支付账户结算提款</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四、预付卡发行业务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0400.现金购买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0401.银行转账方式购买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五、预付卡充值业务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0500.通过现金充值</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0501.通过银行账户充值</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六、0600.预付卡受理业务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七、预付卡赎回业务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0700.现金赎回</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0701.银行转账方式赎回</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八、0800.银行卡收单业务</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32</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涉外收支交易分类与代码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国家外汇管理局规定的用于涉外收支交易申报的相关代码。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33</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资金收付标志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交易的资金收付方向（从客户角度），分成收、付两类。</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34</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资金用途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客户办理大额交易时填写的资金用途。</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35</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交易币种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交易使用的货币币种。</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36</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交易金额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与币种相应的交易金额。</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37</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交易对手姓名(名称)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交易对手名称或姓名的全称，包括中文或外文。</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38</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交易对手身份证件(证明文件)类型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交易对手有效身份证件或证明文件种类。</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39</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交易对手身份证件(证明文件)号码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交易对手有效身份证件或证明文件号码。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40</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交易对手的银行账户类型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交易对手使用的银行账户类型。</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41</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交易对手的银行账号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交易对手使用的银行账户（或卡）号码。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42</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交易对手银行账号的开户银行名称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交易对手的银行账号所对应的银行全称。</w:t>
            </w:r>
          </w:p>
        </w:tc>
      </w:tr>
      <w:tr>
        <w:tblPrEx>
          <w:tblLayout w:type="fixed"/>
          <w:tblCellMar>
            <w:top w:w="0" w:type="dxa"/>
            <w:left w:w="108" w:type="dxa"/>
            <w:bottom w:w="0" w:type="dxa"/>
            <w:right w:w="108" w:type="dxa"/>
          </w:tblCellMar>
        </w:tblPrEx>
        <w:trPr>
          <w:trHeight w:val="96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交易对手的支付账户类型</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交易对手在非银行支付机构开立的支付账户类型，包括：</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1.单位支付账户</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2.个人支付账户</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如果是预付卡业务，账户种类填写替代符。</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44</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交易对手的支付账号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交易对手在非银行支付机构开立的支付账户号码。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45</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交易对手所在非银行支付机构的名称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交易对手开立非银行支付机构交易账号的非银行支付机构名称。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46</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交易对手所在非银行支付机构的银行账号</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交易对手所在非银行支付机构在银行开立的账户。</w:t>
            </w:r>
          </w:p>
        </w:tc>
      </w:tr>
      <w:tr>
        <w:tblPrEx>
          <w:tblLayout w:type="fixed"/>
          <w:tblCellMar>
            <w:top w:w="0" w:type="dxa"/>
            <w:left w:w="108" w:type="dxa"/>
            <w:bottom w:w="0" w:type="dxa"/>
            <w:right w:w="108" w:type="dxa"/>
          </w:tblCellMar>
        </w:tblPrEx>
        <w:trPr>
          <w:trHeight w:val="48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47</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交易对手所在非银行支付机构银行账号的开户银行名称</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交易对手所在非银行支付机构的账户所对应的开户银行全称。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48</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交易对手的交易 IP 地址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填写资金划转时所对应的 IP 地址。</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49</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交易商品名称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填写交易商品或提供服务的名称。</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50</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非柜台交易方式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客户通过非柜台方式进行交易的类型。</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51</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非柜台交易方式的设备代码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客户通过非柜台方式进行交易所使用设备的标识号。</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52</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银行与非银行支付机构之间的业务交易编码</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银行与非银行支付机构之间针对同一笔交易报送的具有唯一标识性的编码。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53</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非银行支付机构与商户之间的业务交易编码</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由非银行支付机构指定规则，并返回给商户的编码（订单号）。</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54</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业务标识号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非银行支付机构用以识别一笔交易的唯一业务标识码。</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55</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交易信息备注 1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备用字段。</w:t>
            </w:r>
          </w:p>
        </w:tc>
      </w:tr>
      <w:tr>
        <w:tblPrEx>
          <w:tblLayout w:type="fixed"/>
          <w:tblCellMar>
            <w:top w:w="0" w:type="dxa"/>
            <w:left w:w="108" w:type="dxa"/>
            <w:bottom w:w="0" w:type="dxa"/>
            <w:right w:w="108" w:type="dxa"/>
          </w:tblCellMar>
        </w:tblPrEx>
        <w:trPr>
          <w:trHeight w:val="270" w:hRule="atLeast"/>
        </w:trPr>
        <w:tc>
          <w:tcPr>
            <w:tcW w:w="4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56</w:t>
            </w:r>
          </w:p>
        </w:tc>
        <w:tc>
          <w:tcPr>
            <w:tcW w:w="26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交易信息备注 2 </w:t>
            </w:r>
          </w:p>
        </w:tc>
        <w:tc>
          <w:tcPr>
            <w:tcW w:w="54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备用字段。</w:t>
            </w:r>
          </w:p>
        </w:tc>
      </w:tr>
    </w:tbl>
    <w:p>
      <w:pPr>
        <w:pStyle w:val="7"/>
        <w:widowControl/>
        <w:spacing w:before="0" w:beforeAutospacing="0" w:after="0" w:afterAutospacing="0" w:line="360" w:lineRule="auto"/>
        <w:rPr>
          <w:rFonts w:ascii="宋体" w:hAnsi="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1F30"/>
    <w:rsid w:val="00084038"/>
    <w:rsid w:val="001C1BB6"/>
    <w:rsid w:val="002410F8"/>
    <w:rsid w:val="002D7919"/>
    <w:rsid w:val="006C03F4"/>
    <w:rsid w:val="00711F30"/>
    <w:rsid w:val="007A0D44"/>
    <w:rsid w:val="008B2523"/>
    <w:rsid w:val="009729E6"/>
    <w:rsid w:val="00A97A05"/>
    <w:rsid w:val="00B305E6"/>
    <w:rsid w:val="00CB2B71"/>
    <w:rsid w:val="00D20306"/>
    <w:rsid w:val="00EB4ED6"/>
    <w:rsid w:val="2C4D1005"/>
    <w:rsid w:val="3975766E"/>
    <w:rsid w:val="3B612108"/>
    <w:rsid w:val="40EC5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5"/>
    <w:semiHidden/>
    <w:unhideWhenUsed/>
    <w:qFormat/>
    <w:uiPriority w:val="99"/>
    <w:pPr>
      <w:ind w:left="100" w:leftChars="2500"/>
    </w:pPr>
  </w:style>
  <w:style w:type="paragraph" w:styleId="4">
    <w:name w:val="Balloon Text"/>
    <w:basedOn w:val="1"/>
    <w:link w:val="14"/>
    <w:semiHidden/>
    <w:unhideWhenUsed/>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styleId="10">
    <w:name w:val="Strong"/>
    <w:basedOn w:val="9"/>
    <w:qFormat/>
    <w:uiPriority w:val="0"/>
    <w:rPr>
      <w:b/>
    </w:rPr>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semiHidden/>
    <w:qFormat/>
    <w:uiPriority w:val="99"/>
    <w:rPr>
      <w:sz w:val="18"/>
      <w:szCs w:val="18"/>
    </w:rPr>
  </w:style>
  <w:style w:type="character" w:customStyle="1" w:styleId="13">
    <w:name w:val="标题 1 Char"/>
    <w:basedOn w:val="9"/>
    <w:link w:val="2"/>
    <w:qFormat/>
    <w:uiPriority w:val="9"/>
    <w:rPr>
      <w:rFonts w:ascii="宋体" w:hAnsi="宋体" w:eastAsia="宋体" w:cs="宋体"/>
      <w:b/>
      <w:bCs/>
      <w:kern w:val="36"/>
      <w:sz w:val="48"/>
      <w:szCs w:val="48"/>
    </w:rPr>
  </w:style>
  <w:style w:type="character" w:customStyle="1" w:styleId="14">
    <w:name w:val="批注框文本 Char"/>
    <w:basedOn w:val="9"/>
    <w:link w:val="4"/>
    <w:semiHidden/>
    <w:uiPriority w:val="99"/>
    <w:rPr>
      <w:sz w:val="18"/>
      <w:szCs w:val="18"/>
    </w:rPr>
  </w:style>
  <w:style w:type="character" w:customStyle="1" w:styleId="15">
    <w:name w:val="日期 Char"/>
    <w:basedOn w:val="9"/>
    <w:link w:val="3"/>
    <w:semiHidden/>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510</Words>
  <Characters>2911</Characters>
  <Lines>24</Lines>
  <Paragraphs>6</Paragraphs>
  <TotalTime>16</TotalTime>
  <ScaleCrop>false</ScaleCrop>
  <LinksUpToDate>false</LinksUpToDate>
  <CharactersWithSpaces>3415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2019-05-07T07:14:00Z</dcterms:created>
  <dc:creator>le</dc:creator>
  <cp:lastModifiedBy>lenovo</cp:lastModifiedBy>
  <dcterms:modified xsi:type="dcterms:W3CDTF">2019-06-28T08:52:30Z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