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0"/>
          <w:szCs w:val="40"/>
        </w:rPr>
      </w:pPr>
      <w:r>
        <w:rPr>
          <w:rFonts w:hint="eastAsia" w:ascii="黑体" w:hAnsi="黑体" w:eastAsia="黑体" w:cs="黑体"/>
          <w:sz w:val="40"/>
          <w:szCs w:val="40"/>
        </w:rPr>
        <w:t>中国人民银行办公厅</w:t>
      </w:r>
      <w:r>
        <w:rPr>
          <w:rFonts w:hint="eastAsia" w:ascii="黑体" w:hAnsi="黑体" w:eastAsia="黑体" w:cs="黑体"/>
          <w:sz w:val="40"/>
          <w:szCs w:val="40"/>
          <w:lang w:val="en-US" w:eastAsia="zh-CN"/>
        </w:rPr>
        <w:t xml:space="preserve">  </w:t>
      </w:r>
      <w:r>
        <w:rPr>
          <w:rFonts w:hint="eastAsia" w:ascii="黑体" w:hAnsi="黑体" w:eastAsia="黑体" w:cs="黑体"/>
          <w:sz w:val="40"/>
          <w:szCs w:val="40"/>
        </w:rPr>
        <w:t>公安部办公厅</w:t>
      </w:r>
    </w:p>
    <w:p>
      <w:pPr>
        <w:jc w:val="center"/>
        <w:rPr>
          <w:rFonts w:hint="eastAsia" w:ascii="黑体" w:hAnsi="黑体" w:eastAsia="黑体" w:cs="黑体"/>
          <w:sz w:val="40"/>
          <w:szCs w:val="40"/>
        </w:rPr>
      </w:pPr>
      <w:r>
        <w:rPr>
          <w:rFonts w:hint="eastAsia" w:ascii="黑体" w:hAnsi="黑体" w:eastAsia="黑体" w:cs="黑体"/>
          <w:sz w:val="40"/>
          <w:szCs w:val="40"/>
        </w:rPr>
        <w:t>关于建立电信网络新型违法犯罪买卖</w:t>
      </w:r>
    </w:p>
    <w:p>
      <w:pPr>
        <w:jc w:val="center"/>
        <w:rPr>
          <w:rFonts w:hint="eastAsia" w:ascii="黑体" w:hAnsi="黑体" w:eastAsia="黑体" w:cs="黑体"/>
          <w:sz w:val="40"/>
          <w:szCs w:val="40"/>
        </w:rPr>
      </w:pPr>
      <w:r>
        <w:rPr>
          <w:rFonts w:hint="eastAsia" w:ascii="黑体" w:hAnsi="黑体" w:eastAsia="黑体" w:cs="黑体"/>
          <w:sz w:val="40"/>
          <w:szCs w:val="40"/>
        </w:rPr>
        <w:t>账户相关信息上报和移送机制的通知</w:t>
      </w:r>
    </w:p>
    <w:p>
      <w:pPr>
        <w:jc w:val="center"/>
        <w:rPr>
          <w:rFonts w:hint="eastAsia"/>
          <w:sz w:val="30"/>
          <w:szCs w:val="30"/>
        </w:rPr>
      </w:pPr>
      <w:r>
        <w:rPr>
          <w:rFonts w:hint="eastAsia"/>
          <w:sz w:val="30"/>
          <w:szCs w:val="30"/>
        </w:rPr>
        <w:t>银办发〔2017〕109号</w:t>
      </w:r>
    </w:p>
    <w:p>
      <w:pPr>
        <w:rPr>
          <w:rFonts w:hint="eastAsia"/>
          <w:sz w:val="30"/>
          <w:szCs w:val="30"/>
        </w:rPr>
      </w:pPr>
    </w:p>
    <w:p>
      <w:pPr>
        <w:rPr>
          <w:rFonts w:hint="eastAsia"/>
          <w:sz w:val="30"/>
          <w:szCs w:val="30"/>
        </w:rPr>
      </w:pPr>
      <w:r>
        <w:rPr>
          <w:rFonts w:hint="eastAsia"/>
          <w:sz w:val="30"/>
          <w:szCs w:val="30"/>
        </w:rPr>
        <w:t>中国人民银行上海总部，各分行、营业管理部，各省会（首府）城市中心支行，深圳市中心支行；各省、自治区、直辖市公安厅（局），新疆生产建设兵团公安局；国家开发银行，各政策性银行、国有商业银行、股份制商业银行，中国邮政储蓄银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为贯彻落实最高人民法院、最高人民检察院、公安部、工业和信息化部、中国人民银行、中国银行业监督管理委员会《关于防范和打击电信网络诈骗犯罪的通告》和《中国人民银行关于加强支付结算管理防范电信网络新型违法犯罪有关事项的通知》（银发〔2016〕261号），保障买卖账户惩戒机制有效实施，中国人民银行与公安部建立电信网络新型违法犯罪买卖账户相关信息上报和移送机制。现就有关事项通知如下：</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一、信息上报流程</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关于买卖账户相关单位和个人信息。公安机关在电信网络新型违法犯罪案件侦查终结移送人民检察院审查起诉时，将案件中认定的出租、出借、出售、购买银行账户（含银行卡，下同）或者支付账户的单位和个人及相关组织者信息，假冒他人身份或者虚构代理关系开立银行账户或者支付账户的单位和个人及相关组织者信息等，以公函形式并附清单（见附件1）逐级报送至省级公安机关。省级公安机关审核无误后报公安部。</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关于涉案账户信息。公安机关在电信网络新型违法犯罪案件侦查过程中，对电信网络新型违法犯罪的涉案账户，经本机关负责人审核确认后，将相关账户及开户人信息等，以公函形式并附清单（见附件2）逐级报送至省级公安机关。省级公安机关审核无误后报送公安部。</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二、信息移送流程</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公安部与中国人民银行采取“总对总”方式移送信息。公安部对省级公安机关上报的材料及清单审核无误后，制作《移送函》并附清单（见附件3），将相关信息移送中国人民银行。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三、信息发布方式</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中国人民银行将公安部提供的买卖账户相关单位和个人信息、认定公安机关名称、惩戒措施执行起止日期等，通过“电信网络新型违法犯罪交易风险事件管理平台”发布至银行业金融机构（以下简称银行）、非银行支付机构（以下简称支付机构）。中国人民银行对公安部提供的涉案账户信息进行审核，需涉案账户开户人重新到银行和支付机构核实身份的账户信息，通过 “电信网络新型违法犯罪交易风险事件管理平台”发布至各银行和支付机构。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四、异议信息处置</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单位或者个人对银行和支付机构采取的惩戒措施提出异议的，银行和支付机构应当做好解释说明。如相关单位或者个人认为信息提供有误，不认同公安机关对其认定的，可以向认定涉案事实的公安机关进行申诉。</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对于单位和个人提出的申诉，认定涉案事实的公安机关应当在受理相关单位或者个人申诉之日起10个工作日内核实并反馈。经确认认定事项或者移送信息有误的，有关公安机关应当在5个工作日内制作《撤销惩戒措施申请书》（见附件4）逐级上报至公安部。公安部自收到《撤销惩戒措施申请书》之日起2个工作日内审核无误后，向中国人民银行发送《商请撤销惩戒措施函》（见附件5）。中国人民银行在收到后2个工作日内通过“电信网络新型违法犯罪交易风险事件管理平台”将相关信息发送各银行和支付机构。各银行和支付机构应当于收到信息之日起24小时内解除相关措施。</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五、其他要求</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各级公安机关应当严格审核上报的电信网络新型违法犯罪涉案单位、个人及账户信息，确保涉案事实确凿、信息准确无误。单位和个人提出的异议的，要及时妥善处理，避免对相关单位和个人的正常生产生活产生不利影响。因公安机关上报信息错误导致有关单位和个人被误惩戒的，由认定公安机关依法承担相应责任。</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银行和支付机构应当严格按照《关于防范和打击电信网络诈骗犯罪的通告》和《中国人民银行关于加强支付结算管理防范电信网络新型违法犯罪有关事项的通知》要求对相关单位和个人实施惩戒。单位和个人对相关措施提出异议的，要正确引导、及时解答。同时，加强买卖账户惩戒措施的社会宣传教育，提高社会公众依法开立和使用账户的法律意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请中国人民银行上海总部，各分行、营业管理部、省会（首府）城市中心支行，深圳市中心支行及时将本通知转发至辖区内人民银行分支机构，城市商业银行、农村商业银行、农村合作银行、村镇银行、城市信用社、农村信用社和外资银行等银行以及支付机构。请省、自治区、直辖市公安厅（局），新疆生产建设兵团公安局将本通知转发至辖内各级公安机关。本通知实施中存在的问题，请及时报告中国人民银行和公安部。</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bookmarkStart w:id="0" w:name="_GoBack"/>
      <w:bookmarkEnd w:id="0"/>
    </w:p>
    <w:p>
      <w:pPr>
        <w:keepNext w:val="0"/>
        <w:keepLines w:val="0"/>
        <w:pageBreakBefore w:val="0"/>
        <w:widowControl w:val="0"/>
        <w:kinsoku/>
        <w:wordWrap/>
        <w:overflowPunct/>
        <w:topLinePunct w:val="0"/>
        <w:autoSpaceDE/>
        <w:autoSpaceDN/>
        <w:bidi w:val="0"/>
        <w:adjustRightInd/>
        <w:snapToGrid/>
        <w:ind w:left="1796" w:leftChars="284" w:hanging="1200" w:hangingChars="400"/>
        <w:textAlignment w:val="auto"/>
        <w:rPr>
          <w:rFonts w:hint="eastAsia"/>
          <w:sz w:val="30"/>
          <w:szCs w:val="30"/>
        </w:rPr>
      </w:pPr>
      <w:r>
        <w:rPr>
          <w:rFonts w:hint="eastAsia"/>
          <w:sz w:val="30"/>
          <w:szCs w:val="30"/>
        </w:rPr>
        <w:t>附件：1.电信网络新型违法犯罪案件买卖账户和冒名开户涉案单位和个人清单</w:t>
      </w:r>
    </w:p>
    <w:p>
      <w:pPr>
        <w:keepNext w:val="0"/>
        <w:keepLines w:val="0"/>
        <w:pageBreakBefore w:val="0"/>
        <w:widowControl w:val="0"/>
        <w:kinsoku/>
        <w:wordWrap/>
        <w:overflowPunct/>
        <w:topLinePunct w:val="0"/>
        <w:autoSpaceDE/>
        <w:autoSpaceDN/>
        <w:bidi w:val="0"/>
        <w:adjustRightInd/>
        <w:snapToGrid/>
        <w:ind w:firstLine="1500" w:firstLineChars="500"/>
        <w:textAlignment w:val="auto"/>
        <w:rPr>
          <w:rFonts w:hint="eastAsia"/>
          <w:sz w:val="30"/>
          <w:szCs w:val="30"/>
        </w:rPr>
      </w:pPr>
      <w:r>
        <w:rPr>
          <w:rFonts w:hint="eastAsia"/>
          <w:sz w:val="30"/>
          <w:szCs w:val="30"/>
        </w:rPr>
        <w:t>2.电信网络新型违法犯罪案件涉案账户清单</w:t>
      </w:r>
    </w:p>
    <w:p>
      <w:pPr>
        <w:keepNext w:val="0"/>
        <w:keepLines w:val="0"/>
        <w:pageBreakBefore w:val="0"/>
        <w:widowControl w:val="0"/>
        <w:kinsoku/>
        <w:wordWrap/>
        <w:overflowPunct/>
        <w:topLinePunct w:val="0"/>
        <w:autoSpaceDE/>
        <w:autoSpaceDN/>
        <w:bidi w:val="0"/>
        <w:adjustRightInd/>
        <w:snapToGrid/>
        <w:ind w:firstLine="1500" w:firstLineChars="500"/>
        <w:textAlignment w:val="auto"/>
        <w:rPr>
          <w:rFonts w:hint="eastAsia"/>
          <w:sz w:val="30"/>
          <w:szCs w:val="30"/>
        </w:rPr>
      </w:pPr>
      <w:r>
        <w:rPr>
          <w:rFonts w:hint="eastAsia"/>
          <w:sz w:val="30"/>
          <w:szCs w:val="30"/>
        </w:rPr>
        <w:t>3.移送函</w:t>
      </w:r>
    </w:p>
    <w:p>
      <w:pPr>
        <w:keepNext w:val="0"/>
        <w:keepLines w:val="0"/>
        <w:pageBreakBefore w:val="0"/>
        <w:widowControl w:val="0"/>
        <w:kinsoku/>
        <w:wordWrap/>
        <w:overflowPunct/>
        <w:topLinePunct w:val="0"/>
        <w:autoSpaceDE/>
        <w:autoSpaceDN/>
        <w:bidi w:val="0"/>
        <w:adjustRightInd/>
        <w:snapToGrid/>
        <w:ind w:firstLine="1500" w:firstLineChars="500"/>
        <w:textAlignment w:val="auto"/>
        <w:rPr>
          <w:rFonts w:hint="eastAsia"/>
          <w:sz w:val="30"/>
          <w:szCs w:val="30"/>
        </w:rPr>
      </w:pPr>
      <w:r>
        <w:rPr>
          <w:rFonts w:hint="eastAsia"/>
          <w:sz w:val="30"/>
          <w:szCs w:val="30"/>
        </w:rPr>
        <w:t>4.撤销惩戒措施申请书</w:t>
      </w:r>
    </w:p>
    <w:p>
      <w:pPr>
        <w:keepNext w:val="0"/>
        <w:keepLines w:val="0"/>
        <w:pageBreakBefore w:val="0"/>
        <w:widowControl w:val="0"/>
        <w:kinsoku/>
        <w:wordWrap/>
        <w:overflowPunct/>
        <w:topLinePunct w:val="0"/>
        <w:autoSpaceDE/>
        <w:autoSpaceDN/>
        <w:bidi w:val="0"/>
        <w:adjustRightInd/>
        <w:snapToGrid/>
        <w:ind w:firstLine="1500" w:firstLineChars="500"/>
        <w:textAlignment w:val="auto"/>
        <w:rPr>
          <w:rFonts w:hint="eastAsia"/>
          <w:sz w:val="30"/>
          <w:szCs w:val="30"/>
        </w:rPr>
      </w:pPr>
      <w:r>
        <w:rPr>
          <w:rFonts w:hint="eastAsia"/>
          <w:sz w:val="30"/>
          <w:szCs w:val="30"/>
        </w:rPr>
        <w:t>5.商请撤销惩戒措施函</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3000509000000000000"/>
    <w:charset w:val="86"/>
    <w:family w:val="script"/>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43AD0"/>
    <w:rsid w:val="00943AD0"/>
    <w:rsid w:val="00C97785"/>
    <w:rsid w:val="40AF1BE7"/>
    <w:rsid w:val="433D6AE8"/>
    <w:rsid w:val="5D605D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292</Words>
  <Characters>1666</Characters>
  <Lines>13</Lines>
  <Paragraphs>3</Paragraphs>
  <TotalTime>1</TotalTime>
  <ScaleCrop>false</ScaleCrop>
  <LinksUpToDate>false</LinksUpToDate>
  <CharactersWithSpaces>1955</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2018-06-25T08:10:00Z</dcterms:created>
  <dc:creator>lenovo</dc:creator>
  <cp:lastModifiedBy>lenovo</cp:lastModifiedBy>
  <dcterms:modified xsi:type="dcterms:W3CDTF">2019-06-28T08:11:34Z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