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黑体" w:hAnsi="黑体" w:eastAsia="黑体" w:cs="黑体"/>
          <w:b w:val="0"/>
          <w:bCs w:val="0"/>
          <w:sz w:val="40"/>
          <w:szCs w:val="40"/>
        </w:rPr>
      </w:pPr>
      <w:r>
        <w:rPr>
          <w:rFonts w:hint="eastAsia" w:ascii="黑体" w:hAnsi="黑体" w:eastAsia="黑体" w:cs="黑体"/>
          <w:b w:val="0"/>
          <w:bCs w:val="0"/>
          <w:sz w:val="40"/>
          <w:szCs w:val="40"/>
        </w:rPr>
        <w:t>中国人民银行办公厅</w:t>
      </w:r>
    </w:p>
    <w:p>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黑体" w:hAnsi="黑体" w:eastAsia="黑体" w:cs="黑体"/>
          <w:b w:val="0"/>
          <w:bCs w:val="0"/>
          <w:sz w:val="40"/>
          <w:szCs w:val="40"/>
        </w:rPr>
      </w:pPr>
      <w:r>
        <w:rPr>
          <w:rFonts w:hint="eastAsia" w:ascii="黑体" w:hAnsi="黑体" w:eastAsia="黑体" w:cs="黑体"/>
          <w:b w:val="0"/>
          <w:bCs w:val="0"/>
          <w:sz w:val="40"/>
          <w:szCs w:val="40"/>
        </w:rPr>
        <w:t>关于做好外国人永久居留身份证</w:t>
      </w:r>
    </w:p>
    <w:p>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黑体" w:hAnsi="黑体" w:eastAsia="黑体" w:cs="黑体"/>
          <w:b w:val="0"/>
          <w:bCs w:val="0"/>
          <w:sz w:val="40"/>
          <w:szCs w:val="40"/>
        </w:rPr>
      </w:pPr>
      <w:r>
        <w:rPr>
          <w:rFonts w:hint="eastAsia" w:ascii="黑体" w:hAnsi="黑体" w:eastAsia="黑体" w:cs="黑体"/>
          <w:b w:val="0"/>
          <w:bCs w:val="0"/>
          <w:sz w:val="40"/>
          <w:szCs w:val="40"/>
        </w:rPr>
        <w:t>使用和宣传培训工作的通知</w:t>
      </w:r>
    </w:p>
    <w:p>
      <w:pPr>
        <w:keepNext w:val="0"/>
        <w:keepLines w:val="0"/>
        <w:pageBreakBefore w:val="0"/>
        <w:widowControl w:val="0"/>
        <w:kinsoku/>
        <w:wordWrap/>
        <w:overflowPunct/>
        <w:topLinePunct w:val="0"/>
        <w:autoSpaceDE/>
        <w:autoSpaceDN/>
        <w:bidi w:val="0"/>
        <w:adjustRightInd/>
        <w:snapToGrid/>
        <w:ind w:firstLine="600" w:firstLineChars="200"/>
        <w:jc w:val="center"/>
        <w:textAlignment w:val="auto"/>
        <w:outlineLvl w:val="9"/>
        <w:rPr>
          <w:rFonts w:hint="eastAsia"/>
          <w:sz w:val="30"/>
          <w:szCs w:val="30"/>
        </w:rPr>
      </w:pPr>
      <w:r>
        <w:rPr>
          <w:rFonts w:hint="eastAsia"/>
          <w:sz w:val="30"/>
          <w:szCs w:val="30"/>
        </w:rPr>
        <w:t>银办发〔2017〕125号</w:t>
      </w:r>
    </w:p>
    <w:p>
      <w:pPr>
        <w:keepNext w:val="0"/>
        <w:keepLines w:val="0"/>
        <w:pageBreakBefore w:val="0"/>
        <w:widowControl w:val="0"/>
        <w:kinsoku/>
        <w:wordWrap/>
        <w:overflowPunct/>
        <w:topLinePunct w:val="0"/>
        <w:autoSpaceDE/>
        <w:autoSpaceDN/>
        <w:bidi w:val="0"/>
        <w:adjustRightInd/>
        <w:snapToGrid/>
        <w:ind w:firstLine="600" w:firstLineChars="200"/>
        <w:jc w:val="center"/>
        <w:textAlignment w:val="auto"/>
        <w:outlineLvl w:val="9"/>
        <w:rPr>
          <w:rFonts w:hint="eastAsia"/>
          <w:sz w:val="30"/>
          <w:szCs w:val="30"/>
        </w:rPr>
      </w:pPr>
    </w:p>
    <w:p>
      <w:pPr>
        <w:keepNext w:val="0"/>
        <w:keepLines w:val="0"/>
        <w:pageBreakBefore w:val="0"/>
        <w:widowControl w:val="0"/>
        <w:kinsoku/>
        <w:wordWrap/>
        <w:overflowPunct/>
        <w:topLinePunct w:val="0"/>
        <w:autoSpaceDE/>
        <w:autoSpaceDN/>
        <w:bidi w:val="0"/>
        <w:adjustRightInd/>
        <w:snapToGrid/>
        <w:textAlignment w:val="auto"/>
        <w:outlineLvl w:val="9"/>
        <w:rPr>
          <w:rFonts w:hint="eastAsia"/>
          <w:sz w:val="30"/>
          <w:szCs w:val="30"/>
        </w:rPr>
      </w:pPr>
      <w:r>
        <w:rPr>
          <w:rFonts w:hint="eastAsia"/>
          <w:sz w:val="30"/>
          <w:szCs w:val="30"/>
        </w:rPr>
        <w:t>中国人民银行上海总部，各分行、营业管理部、省会（首府）城市中心支行，深圳市中心支行；国家开发银行，各</w:t>
      </w:r>
      <w:bookmarkStart w:id="0" w:name="_GoBack"/>
      <w:bookmarkEnd w:id="0"/>
      <w:r>
        <w:rPr>
          <w:rFonts w:hint="eastAsia"/>
          <w:sz w:val="30"/>
          <w:szCs w:val="30"/>
        </w:rPr>
        <w:t>政策性银行、国有商业银行、股份制商业银行，中国邮政储蓄银行：</w:t>
      </w: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rPr>
          <w:rFonts w:hint="eastAsia"/>
          <w:sz w:val="30"/>
          <w:szCs w:val="30"/>
        </w:rPr>
      </w:pPr>
      <w:r>
        <w:rPr>
          <w:rFonts w:hint="eastAsia"/>
          <w:sz w:val="30"/>
          <w:szCs w:val="30"/>
        </w:rPr>
        <w:t>公安部自2017年6月16日起签发2017版外国人永久居留身份证，停止签发现行外国人永久居留证。为配合做好完善外国人永久居留服务配套设施相关工作，确保永久居留外国人便捷地享受银行业金融机构（以下简称银行）和非银行支付机构（以下简称支付机构）的服务，现就有关事项通知如下：</w:t>
      </w: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rPr>
          <w:rFonts w:hint="eastAsia"/>
          <w:sz w:val="30"/>
          <w:szCs w:val="30"/>
        </w:rPr>
      </w:pPr>
      <w:r>
        <w:rPr>
          <w:rFonts w:hint="eastAsia"/>
          <w:sz w:val="30"/>
          <w:szCs w:val="30"/>
        </w:rPr>
        <w:t>一、外国人永久居留证件名称调整为“外国人永久居留身份证”。2017版外国人永久居留身份证参照第二代居民身份证标准设计制作，内嵌非接触式集成电路芯片，芯片同时存入持证人个人资料和证件签发管理信息，可以使用第二代居民身份证阅读机具读取。证件登记项目包括持证人姓名、性别、出生日期、国籍、有效期限、签发机关和证件号码等（式样见附件）。外国人永久居留证件换发、补发后证件号码保持不变。</w:t>
      </w: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rPr>
          <w:rFonts w:hint="eastAsia"/>
          <w:sz w:val="30"/>
          <w:szCs w:val="30"/>
        </w:rPr>
      </w:pPr>
      <w:r>
        <w:rPr>
          <w:rFonts w:hint="eastAsia"/>
          <w:sz w:val="30"/>
          <w:szCs w:val="30"/>
        </w:rPr>
        <w:t>二、根据《外国人在中国永久居留审批管理办法》（公安部外交部令第74号发布），外国人永久居留身份证是获得在中国永久居留的外国人在中国境内居留的合法身份证件，可以单独使用，作为办理银行和支付机构业务的有效身份证件。银行和支付机构应当根据公安部2017年5月20日关于启动2017版外国人永久居留身份证的公告，做好本单位相关宣传培训工作，使营业网点业务人员尽快掌握2017版外国人永久居留身份证的样式并了解相关政策，确保外国人能够持外国人永久居留身份证正常办理相关业务。</w:t>
      </w: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rPr>
          <w:rFonts w:hint="eastAsia"/>
          <w:sz w:val="30"/>
          <w:szCs w:val="30"/>
        </w:rPr>
      </w:pPr>
      <w:r>
        <w:rPr>
          <w:rFonts w:hint="eastAsia"/>
          <w:sz w:val="30"/>
          <w:szCs w:val="30"/>
        </w:rPr>
        <w:t>三、银行和支付机构可以通过人工识别、第二代居民身份证阅读机具机读等方式识别外国人永久居留身份证。已配备第二代居民身份证阅读机具的银行和支付机构，应当按照《中国人民银行办公厅关于做好外国人永久居留证芯片机读改造工作的通知》（银办发〔2016〕249号）要求进行业务系统及界面的改造，实现通过第二代居民身份证阅读机具读取外国人永久居留身份证信息。同时根据公安部最新要求，银行和支付机构应当力争在2017年6月底前完成相关业务系统及界面改造工作。</w:t>
      </w: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rPr>
          <w:rFonts w:hint="eastAsia"/>
          <w:sz w:val="30"/>
          <w:szCs w:val="30"/>
        </w:rPr>
      </w:pPr>
      <w:r>
        <w:rPr>
          <w:rFonts w:hint="eastAsia"/>
          <w:sz w:val="30"/>
          <w:szCs w:val="30"/>
        </w:rPr>
        <w:t>四、银行和支付机构应当积极采取措施识别外国人身份，加强外国人身份信息管理，建立外国人永久居留身份信息与护照信息的对应关系。严格执行《中国人民银行关于加强支付结算管理防范电信网络新型违法犯罪有关事项的通知》（银发〔2016〕261号），对于持外国人永久居留身份证开户的外国人，确认是否已经持护照开立银行账户和支付账户，确保同一外国人在同一家银行只能开立一个I类银行结算账户，在同一家支付机构只能开立一个Ⅲ类支付账户。</w:t>
      </w: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rPr>
          <w:rFonts w:hint="eastAsia"/>
          <w:sz w:val="30"/>
          <w:szCs w:val="30"/>
        </w:rPr>
      </w:pPr>
      <w:r>
        <w:rPr>
          <w:rFonts w:hint="eastAsia"/>
          <w:sz w:val="30"/>
          <w:szCs w:val="30"/>
        </w:rPr>
        <w:t>五、人民银行将积极协商公安部实现联网核查公民身份信息系统核查外国人永久居留身份证信息。</w:t>
      </w: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rPr>
          <w:rFonts w:hint="eastAsia"/>
          <w:sz w:val="30"/>
          <w:szCs w:val="30"/>
        </w:rPr>
      </w:pPr>
      <w:r>
        <w:rPr>
          <w:rFonts w:hint="eastAsia"/>
          <w:sz w:val="30"/>
          <w:szCs w:val="30"/>
        </w:rPr>
        <w:t>请人民银行上海总部，各分行、营业管理部、省会（首府）城市中心支行，深圳市中心支行将本通知转发至辖区内城市商业银行、农村商业银行、农村合作银行、村镇银行、城市信用社、农村信用社、外资银行和支付机构。</w:t>
      </w: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rPr>
          <w:rFonts w:hint="eastAsia"/>
          <w:sz w:val="30"/>
          <w:szCs w:val="30"/>
        </w:rPr>
      </w:pPr>
      <w:r>
        <w:rPr>
          <w:rFonts w:hint="eastAsia"/>
          <w:sz w:val="30"/>
          <w:szCs w:val="30"/>
        </w:rPr>
        <w:t>联系人及联系方式：唐容，010-66194708</w:t>
      </w: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rPr>
          <w:rFonts w:hint="eastAsia"/>
          <w:sz w:val="30"/>
          <w:szCs w:val="30"/>
        </w:rPr>
      </w:pP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rPr>
          <w:rFonts w:hint="eastAsia"/>
          <w:sz w:val="30"/>
          <w:szCs w:val="30"/>
        </w:rPr>
      </w:pPr>
      <w:r>
        <w:rPr>
          <w:rFonts w:hint="eastAsia"/>
          <w:sz w:val="30"/>
          <w:szCs w:val="30"/>
        </w:rPr>
        <w:t>附件：2017版外国人永久居留身份证式样及说明</w:t>
      </w: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rPr>
          <w:sz w:val="30"/>
          <w:szCs w:val="30"/>
        </w:rPr>
      </w:pPr>
      <w:r>
        <w:rPr>
          <w:sz w:val="30"/>
          <w:szCs w:val="30"/>
        </w:rPr>
        <w:drawing>
          <wp:inline distT="0" distB="0" distL="114300" distR="114300">
            <wp:extent cx="5271135" cy="7155180"/>
            <wp:effectExtent l="0" t="0" r="571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71135" cy="715518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600" w:firstLineChars="200"/>
        <w:textAlignment w:val="auto"/>
        <w:outlineLvl w:val="9"/>
      </w:pPr>
      <w:r>
        <w:rPr>
          <w:sz w:val="30"/>
          <w:szCs w:val="30"/>
        </w:rPr>
        <w:drawing>
          <wp:inline distT="0" distB="0" distL="114300" distR="114300">
            <wp:extent cx="5274310" cy="7343775"/>
            <wp:effectExtent l="0" t="0" r="254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5274310" cy="7343775"/>
                    </a:xfrm>
                    <a:prstGeom prst="rect">
                      <a:avLst/>
                    </a:prstGeom>
                    <a:noFill/>
                    <a:ln w="9525">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7EF64A5"/>
    <w:rsid w:val="639D06FE"/>
    <w:rsid w:val="67EF64A5"/>
    <w:rsid w:val="6D535020"/>
    <w:rsid w:val="70A44C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qFormat/>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AppData\Roaming\Kingsoft\wps\addons\pool\win-i386\knewfileruby_1.0.0.10\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TotalTime>3</TotalTime>
  <ScaleCrop>false</ScaleCrop>
  <LinksUpToDate>false</LinksUpToDate>
  <CharactersWithSpaces>0</CharactersWithSpaces>
  <Application>WPS Office_11.1.0.8806_F1E327BC-269C-435d-A152-05C5408002CA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2018-06-25T08:03:00Z</dcterms:created>
  <dc:creator>lenovo</dc:creator>
  <cp:lastModifiedBy>lenovo</cp:lastModifiedBy>
  <dcterms:modified xsi:type="dcterms:W3CDTF">2019-06-28T08:12:09Z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2052-11.1.0.8806</vt:lpwstr>
  </property>
</Properties>
</file>