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中国人民银行办公厅关于明确</w:t>
      </w:r>
    </w:p>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部分支付业务统计指标口径的通知</w:t>
      </w:r>
    </w:p>
    <w:p>
      <w:pPr>
        <w:jc w:val="center"/>
        <w:rPr>
          <w:rFonts w:hint="eastAsia"/>
          <w:sz w:val="30"/>
          <w:szCs w:val="30"/>
        </w:rPr>
      </w:pPr>
      <w:r>
        <w:rPr>
          <w:rFonts w:hint="eastAsia"/>
          <w:sz w:val="30"/>
          <w:szCs w:val="30"/>
        </w:rPr>
        <w:t>银办发〔2017〕210号</w:t>
      </w:r>
    </w:p>
    <w:p>
      <w:pPr>
        <w:jc w:val="center"/>
        <w:rPr>
          <w:rFonts w:hint="eastAsia"/>
          <w:sz w:val="30"/>
          <w:szCs w:val="30"/>
        </w:rPr>
      </w:pPr>
    </w:p>
    <w:p>
      <w:pPr>
        <w:rPr>
          <w:rFonts w:hint="eastAsia"/>
          <w:sz w:val="30"/>
          <w:szCs w:val="30"/>
        </w:rPr>
      </w:pPr>
      <w:r>
        <w:rPr>
          <w:rFonts w:hint="eastAsia"/>
          <w:sz w:val="30"/>
          <w:szCs w:val="30"/>
        </w:rPr>
        <w:t>中国人民银行上海总部，各分行、营业管理部，各省会（首府）城市中心支行，深圳市中心支行；国家开发银行，各政策性银行、国有商业银行、股份制商业银行，中国邮政储蓄银行，中国银联股份有限公司：</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为提高支付业务数据质量，人民银行对《支付业务统计指标》行业标准（JR/T0076，银发〔2013〕121号文印发）部分重点指标统计口径进行了明确，现将有关事项通知如下：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一、自2018年第一季度起，各单位按照《部分支付业务统计指标口径》（见附件1）向支付信息统计分析系统报送银行卡在用发卡数量、银行卡业务量、电子支付业务量、贷记转账和直接借记等指标的统计数据。</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二、各单位根据《部分支付业务统计指标口径》，对照梳理本单位当前报送数据口径，于2017年12月29日前将口径核对情况和2017年第三季度相关指标数据变动情况书面报告人民银</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行（格式见附件2）。其中，国家开发银行，各政策性银行、国有商业银行、股份制商业银行，中国邮政储蓄银行，中国银联股份有限公司将报告盖章后报送至人民银行支付结算司；其他银行法人将报告盖章后报送至当地人民银行分支机构，人民银行分支机构汇总盖章后逐级报送至人民银行支付结算司。</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请人民银行分支机构将本通知转发至辖区内城市商业银行、农村商业银行、农村合作银行、农村信用社、村镇银行、民营银行、外资银行等。</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联系人：赵朋飞、汪潇电话：010-66199481、66194143</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附件：1．部分支付业务统计指标口径</w:t>
      </w:r>
    </w:p>
    <w:p>
      <w:pPr>
        <w:keepNext w:val="0"/>
        <w:keepLines w:val="0"/>
        <w:pageBreakBefore w:val="0"/>
        <w:widowControl w:val="0"/>
        <w:numPr>
          <w:ilvl w:val="0"/>
          <w:numId w:val="1"/>
        </w:numPr>
        <w:kinsoku/>
        <w:wordWrap/>
        <w:overflowPunct/>
        <w:topLinePunct w:val="0"/>
        <w:autoSpaceDE/>
        <w:autoSpaceDN/>
        <w:bidi w:val="0"/>
        <w:adjustRightInd/>
        <w:snapToGrid/>
        <w:ind w:firstLine="1500" w:firstLineChars="500"/>
        <w:textAlignment w:val="auto"/>
        <w:outlineLvl w:val="9"/>
        <w:rPr>
          <w:rFonts w:hint="eastAsia"/>
          <w:sz w:val="30"/>
          <w:szCs w:val="30"/>
        </w:rPr>
      </w:pPr>
      <w:r>
        <w:rPr>
          <w:rFonts w:hint="eastAsia"/>
          <w:sz w:val="30"/>
          <w:szCs w:val="30"/>
        </w:rPr>
        <w:t>支付业务指标数据核对表</w:t>
      </w:r>
    </w:p>
    <w:p>
      <w:pPr>
        <w:keepNext w:val="0"/>
        <w:keepLines w:val="0"/>
        <w:pageBreakBefore w:val="0"/>
        <w:widowControl w:val="0"/>
        <w:numPr>
          <w:numId w:val="0"/>
        </w:numPr>
        <w:kinsoku/>
        <w:wordWrap/>
        <w:overflowPunct/>
        <w:topLinePunct w:val="0"/>
        <w:autoSpaceDE/>
        <w:autoSpaceDN/>
        <w:bidi w:val="0"/>
        <w:adjustRightInd/>
        <w:snapToGrid/>
        <w:textAlignment w:val="auto"/>
        <w:outlineLvl w:val="9"/>
        <w:rPr>
          <w:rFonts w:hint="eastAsia"/>
          <w:sz w:val="30"/>
          <w:szCs w:val="30"/>
        </w:rPr>
      </w:pPr>
    </w:p>
    <w:p>
      <w:pPr>
        <w:jc w:val="right"/>
        <w:rPr>
          <w:rFonts w:hint="eastAsia"/>
          <w:sz w:val="30"/>
          <w:szCs w:val="30"/>
        </w:rPr>
      </w:pPr>
      <w:r>
        <w:rPr>
          <w:rFonts w:hint="eastAsia"/>
          <w:sz w:val="30"/>
          <w:szCs w:val="30"/>
        </w:rPr>
        <w:t>中国人民银行办公厅</w:t>
      </w:r>
    </w:p>
    <w:p>
      <w:pPr>
        <w:jc w:val="right"/>
        <w:rPr>
          <w:rFonts w:hint="eastAsia"/>
          <w:sz w:val="30"/>
          <w:szCs w:val="30"/>
        </w:rPr>
      </w:pPr>
      <w:r>
        <w:rPr>
          <w:rFonts w:hint="eastAsia"/>
          <w:sz w:val="30"/>
          <w:szCs w:val="30"/>
        </w:rPr>
        <w:t>2017年11月8日</w:t>
      </w:r>
    </w:p>
    <w:p>
      <w:pPr>
        <w:rPr>
          <w:rFonts w:hint="eastAsia"/>
          <w:sz w:val="30"/>
          <w:szCs w:val="30"/>
        </w:rPr>
      </w:pPr>
    </w:p>
    <w:p>
      <w:pPr>
        <w:rPr>
          <w:rFonts w:hint="eastAsia"/>
          <w:sz w:val="30"/>
          <w:szCs w:val="30"/>
        </w:rPr>
      </w:pPr>
    </w:p>
    <w:p>
      <w:pPr>
        <w:rPr>
          <w:rFonts w:hint="eastAsia"/>
          <w:sz w:val="30"/>
          <w:szCs w:val="30"/>
        </w:rPr>
      </w:pPr>
    </w:p>
    <w:p>
      <w:pPr>
        <w:rPr>
          <w:rFonts w:hint="eastAsia"/>
          <w:sz w:val="30"/>
          <w:szCs w:val="30"/>
        </w:rPr>
      </w:pPr>
      <w:r>
        <w:rPr>
          <w:rFonts w:hint="eastAsia"/>
          <w:sz w:val="30"/>
          <w:szCs w:val="30"/>
        </w:rPr>
        <w:t>附件1</w:t>
      </w:r>
    </w:p>
    <w:p>
      <w:pPr>
        <w:jc w:val="center"/>
        <w:rPr>
          <w:rFonts w:hint="eastAsia"/>
          <w:b/>
          <w:bCs/>
          <w:sz w:val="40"/>
          <w:szCs w:val="40"/>
        </w:rPr>
      </w:pPr>
      <w:r>
        <w:rPr>
          <w:rFonts w:hint="eastAsia"/>
          <w:b/>
          <w:bCs/>
          <w:sz w:val="40"/>
          <w:szCs w:val="40"/>
        </w:rPr>
        <w:t>部分支付业务统计指标口径</w:t>
      </w:r>
    </w:p>
    <w:p>
      <w:pPr>
        <w:jc w:val="center"/>
        <w:rPr>
          <w:rFonts w:hint="eastAsia"/>
          <w:b/>
          <w:bCs/>
          <w:sz w:val="40"/>
          <w:szCs w:val="4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《支付业务统计指标》行业标准（JR/T0076）部分指标统计口径如下：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一、银行卡在用发卡数量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（一）实体卡片均统计在内，如主卡和副卡均有实体卡片，则均应计入银行卡数量。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对于不配发实体卡片的独立账户（如Ⅱ、Ⅲ类银行账户），有卡BIN号的统计在内，计入银行卡按介质分类中的“其他”类别，无卡BIN号的不统计。如前期仅为客户提供卡号，后续再配发实体卡片的，配发实体卡片之前计入“其他”类别，配发实体卡片后根据卡片类型计入相应类别。</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（三）对于没有独立账户，仅作为依托特定实体卡存在的附属账户或映射账户（如云闪付设备卡），不重复计入银行卡数量。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（四）银行卡数量按发卡对象分为个人卡数量和单位卡数量。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（五）对于线上申请银行卡无法确定发卡地区的，信用卡以客户首次填写的账单地址为准，借记卡以客户首次填写的联系地址为准。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二、银行卡业务量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（一）对于没有独立账户，仅作为依托特定实体卡存在的附属账户或映射账户（如云闪付设备卡），其产生的业务量计入与其关联的银行卡业务量。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（二）通过银行卡进行的代收代付、归还贷款、信用卡还款业务计入银行卡转账业务量，溢缴款计入银行卡存款余额。</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（三）购买金融产品（包括定期存款、银行理财、基金、证券、外汇、黄金等）计入银行卡转账业务量。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（四）金融产品的转出（含到期转出和未到期转出）、支取现金、赎回、卖出、收益转入等业务不计入银行卡业务量。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（五）无卡取现、存现、消费和转账应计入银行卡业务量。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（六）仅统计成功清算且涉及资金变动的常规类交易。不统计差错类交易、冲正类交易以及被冲正的原交易，不统计查询、预授权、预授权撤销等不涉及资金变动的交易。</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（七）银行卡境外业务量是指统计期内境内发卡机构发行的银行卡在境外发生的业务量，或交易对手账户为境外账户的业务量（如海淘等跨境电商支付业务）。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（八）银行卡外币业务量是指统计期内以外币结算的银行卡业务量。外币交易金额按照统计期末外币对人民币中间价折算为人民币。</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（九）银行卡授信总额仅包括已激活卡片的授信总额，不包括未激活卡片的授信总额。</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（十）银行卡存款余额是指统计期末发卡机构发行的银行卡账户内的本外币活期存款余额。</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三、电子支付业务量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（一）电子支付业务量按照发卡机构单边统计。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（二）购买金融产品应根据购买渠道分别计入网上支付、移动支付、电话支付、ATM、POS、其他电子支付业务量。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银企直联业务量计入网上支付业务量。银企直联业务是指商业银行与企业客户直联，企业通过内部系统向银行端直接发起的通过本银行的银行账户付款的业务，如通过与本银行直联的票务中介等网站购买机票、基金公司网站购买基金等。通过其他银行、非银行支</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付机构等与企业连接的，不属于银企直联业务。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ATM机具统计自助存款机、自助取款机、存取款一体机、自助服务终端、可视柜台（VTM）、智能柜台等具有资金变动业务功能的自助（含半自助）银行卡终端设备。ATM业务量是指通过ATM机具发生的资金变动业务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（五）POS机具统计传统POS、移动POS（mPOS）、电话POS、智能POS等银行卡收单机具。POS业务量是指通过POS机具发生的资金变动业务量，不仅限于消费和取现，还包括转账等业务，转账等业务计入POS消费业务。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（六）其他电子支付业务包括数字电视支付等未纳入网上支付、移动支付、电话支付、POS、ATM等渠道的业务。各银行统计其他支付业务量的口径有变动时，应提前报人民银行支付结算司备案。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四、其他指标</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（一）贷记转账和直接借记统计范围是除票据、银行卡、托收承付和国内信用证之外的业务，已经纳入上述业务的不再计入，如票据委托收款、托收承付（划回）、票据截留、贴现和转贴现等。</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（二）贷记转账和直接借记的区别是业务发起方是付款方还是收款方。付款方发起的业务为贷记转账，收款方发起的业务为直接借记。</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（三）商业汇票贴现业务存量和转贴现业务存量应统计银行买入但未转出的商业汇票余额，而非买入的累计存量。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（四）银行业存款类金融机构行内支付系统业务量应等于银行业存款类金融机构行内支付系统资金流出量。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（五）现场检查账户数量指标以《事实认定书》的签发日期为统计日期，账户违规和处罚指标以《行政处罚决定书》的签发日期为统计日期，支票违规指标以《行政处罚告知书》发出日期为准。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eastAsiaTheme="minorEastAsia"/>
          <w:sz w:val="30"/>
          <w:szCs w:val="30"/>
          <w:lang w:val="en-US" w:eastAsia="zh-CN"/>
        </w:rPr>
      </w:pPr>
      <w:r>
        <w:rPr>
          <w:rFonts w:hint="eastAsia"/>
          <w:sz w:val="30"/>
          <w:szCs w:val="30"/>
        </w:rPr>
        <w:t>附件2</w:t>
      </w:r>
      <w:bookmarkStart w:id="0" w:name="_GoBack"/>
      <w:bookmarkEnd w:id="0"/>
      <w:r>
        <w:rPr>
          <w:rFonts w:hint="eastAsia"/>
          <w:sz w:val="30"/>
          <w:szCs w:val="30"/>
        </w:rPr>
        <w:t>支付业务指标数据核对表</w:t>
      </w:r>
      <w:r>
        <w:rPr>
          <w:rFonts w:hint="eastAsia"/>
          <w:sz w:val="30"/>
          <w:szCs w:val="30"/>
          <w:lang w:eastAsia="zh-CN"/>
        </w:rPr>
        <w:t>（略）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4A40F8"/>
    <w:multiLevelType w:val="singleLevel"/>
    <w:tmpl w:val="7D4A40F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D4184"/>
    <w:rsid w:val="0F3A5BBD"/>
    <w:rsid w:val="3FFD4184"/>
    <w:rsid w:val="64F84143"/>
    <w:rsid w:val="6D535020"/>
    <w:rsid w:val="7B0E3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2018-06-25T07:56:00Z</dcterms:created>
  <dc:creator>lenovo</dc:creator>
  <cp:lastModifiedBy>lenovo</cp:lastModifiedBy>
  <dcterms:modified xsi:type="dcterms:W3CDTF">2019-06-28T08:12:50Z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