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sz w:val="40"/>
          <w:szCs w:val="40"/>
        </w:rPr>
      </w:pPr>
    </w:p>
    <w:p>
      <w:pPr>
        <w:jc w:val="center"/>
        <w:rPr>
          <w:rFonts w:hint="eastAsia" w:ascii="黑体" w:hAnsi="黑体" w:eastAsia="黑体" w:cs="黑体"/>
          <w:b/>
          <w:bCs/>
          <w:sz w:val="40"/>
          <w:szCs w:val="40"/>
        </w:rPr>
      </w:pPr>
      <w:r>
        <w:rPr>
          <w:rFonts w:hint="eastAsia" w:ascii="黑体" w:hAnsi="黑体" w:eastAsia="黑体" w:cs="黑体"/>
          <w:b/>
          <w:bCs/>
          <w:sz w:val="40"/>
          <w:szCs w:val="40"/>
        </w:rPr>
        <w:t>中国人民银行关于规范代收业务的通知</w:t>
      </w:r>
    </w:p>
    <w:p>
      <w:pPr>
        <w:jc w:val="center"/>
        <w:rPr>
          <w:rFonts w:hint="eastAsia" w:ascii="黑体" w:hAnsi="黑体" w:eastAsia="黑体" w:cs="黑体"/>
          <w:b/>
          <w:bCs/>
          <w:sz w:val="40"/>
          <w:szCs w:val="40"/>
        </w:rPr>
      </w:pPr>
      <w:r>
        <w:rPr>
          <w:rFonts w:hint="eastAsia" w:ascii="黑体" w:hAnsi="黑体" w:eastAsia="黑体" w:cs="黑体"/>
          <w:b/>
          <w:bCs/>
          <w:sz w:val="40"/>
          <w:szCs w:val="40"/>
        </w:rPr>
        <w:t>银发〔2020〕248号</w:t>
      </w:r>
    </w:p>
    <w:p>
      <w:pPr>
        <w:pStyle w:val="2"/>
        <w:rPr>
          <w:rFonts w:hint="eastAsia"/>
        </w:rPr>
      </w:pPr>
      <w:bookmarkStart w:id="0" w:name="_GoBack"/>
      <w:bookmarkEnd w:id="0"/>
    </w:p>
    <w:p>
      <w:pPr>
        <w:rPr>
          <w:rFonts w:hint="eastAsia"/>
          <w:sz w:val="30"/>
          <w:szCs w:val="30"/>
        </w:rPr>
      </w:pPr>
      <w:r>
        <w:rPr>
          <w:rFonts w:hint="eastAsia"/>
          <w:sz w:val="30"/>
          <w:szCs w:val="30"/>
        </w:rPr>
        <w:t>中国人民银行上海总部，各分行、营业管理部，各省会（首府）城市中心支行，各副省级城市中心支行；各国有商业银行、股份制商业银行，中国邮政储蓄银行；各清算机构；各非银行支付机构：</w:t>
      </w:r>
    </w:p>
    <w:p>
      <w:pPr>
        <w:ind w:firstLine="600" w:firstLineChars="200"/>
        <w:rPr>
          <w:rFonts w:hint="eastAsia"/>
          <w:sz w:val="30"/>
          <w:szCs w:val="30"/>
        </w:rPr>
      </w:pPr>
      <w:r>
        <w:rPr>
          <w:rFonts w:hint="eastAsia"/>
          <w:sz w:val="30"/>
          <w:szCs w:val="30"/>
        </w:rPr>
        <w:t>为规范代收业务，保障当事人合法权益，防范支付业务风险，现就有关事项通知如下：</w:t>
      </w:r>
    </w:p>
    <w:p>
      <w:pPr>
        <w:ind w:firstLine="602" w:firstLineChars="200"/>
        <w:rPr>
          <w:rFonts w:hint="eastAsia"/>
          <w:b/>
          <w:bCs/>
          <w:sz w:val="30"/>
          <w:szCs w:val="30"/>
        </w:rPr>
      </w:pPr>
      <w:r>
        <w:rPr>
          <w:rFonts w:hint="eastAsia"/>
          <w:b/>
          <w:bCs/>
          <w:sz w:val="30"/>
          <w:szCs w:val="30"/>
        </w:rPr>
        <w:t>一、代收业务定义</w:t>
      </w:r>
    </w:p>
    <w:p>
      <w:pPr>
        <w:ind w:firstLine="600" w:firstLineChars="200"/>
        <w:rPr>
          <w:rFonts w:hint="eastAsia"/>
          <w:sz w:val="30"/>
          <w:szCs w:val="30"/>
        </w:rPr>
      </w:pPr>
      <w:r>
        <w:rPr>
          <w:rFonts w:hint="eastAsia"/>
          <w:sz w:val="30"/>
          <w:szCs w:val="30"/>
        </w:rPr>
        <w:t>（一）本通知所称代收业务，是指经付款人同意，收款人委托代收机构按照约定的频率、额度等条件，从付款人开户机构扣划付款人账户资金给收款人，且付款人开户机构不再与付款人逐笔进行交易确认的支付业务。</w:t>
      </w:r>
    </w:p>
    <w:p>
      <w:pPr>
        <w:ind w:firstLine="600" w:firstLineChars="200"/>
        <w:rPr>
          <w:rFonts w:hint="eastAsia"/>
          <w:sz w:val="30"/>
          <w:szCs w:val="30"/>
        </w:rPr>
      </w:pPr>
      <w:r>
        <w:rPr>
          <w:rFonts w:hint="eastAsia"/>
          <w:sz w:val="30"/>
          <w:szCs w:val="30"/>
        </w:rPr>
        <w:t>代收业务适用于收款人固定，付款频率或者额度等条件事先约定且相对固定的特定场景。</w:t>
      </w:r>
    </w:p>
    <w:p>
      <w:pPr>
        <w:ind w:firstLine="600" w:firstLineChars="200"/>
        <w:rPr>
          <w:rFonts w:hint="eastAsia"/>
          <w:sz w:val="30"/>
          <w:szCs w:val="30"/>
        </w:rPr>
      </w:pPr>
      <w:r>
        <w:rPr>
          <w:rFonts w:hint="eastAsia"/>
          <w:sz w:val="30"/>
          <w:szCs w:val="30"/>
        </w:rPr>
        <w:t>（二）本通知所称代收机构，是指根据收款人委托，向付款人开户机构发起支付指令，并完成相关货币资金转移服务的机构，包括银行业金融机构（以下简称银行）、取得网络支付业务许可或者银行卡收单业务许可的非银行支付机构（以下简称支付机构）。</w:t>
      </w:r>
    </w:p>
    <w:p>
      <w:pPr>
        <w:ind w:firstLine="600" w:firstLineChars="200"/>
        <w:rPr>
          <w:rFonts w:hint="eastAsia"/>
          <w:sz w:val="30"/>
          <w:szCs w:val="30"/>
        </w:rPr>
      </w:pPr>
      <w:r>
        <w:rPr>
          <w:rFonts w:hint="eastAsia"/>
          <w:sz w:val="30"/>
          <w:szCs w:val="30"/>
        </w:rPr>
        <w:t>取得网络支付业务许可的支付机构可以为网络特约商户提供代收服务，取得银行卡收单业务许可的支付机构可以为实体特约商户提供代收服务。</w:t>
      </w:r>
    </w:p>
    <w:p>
      <w:pPr>
        <w:ind w:firstLine="600" w:firstLineChars="200"/>
        <w:rPr>
          <w:rFonts w:hint="eastAsia"/>
          <w:sz w:val="30"/>
          <w:szCs w:val="30"/>
        </w:rPr>
      </w:pPr>
      <w:r>
        <w:rPr>
          <w:rFonts w:hint="eastAsia"/>
          <w:sz w:val="30"/>
          <w:szCs w:val="30"/>
        </w:rPr>
        <w:t>（三）本通知所称付款人开户机构，是指为付款人开立银行结算账户或者支付账户的机构，包括银行和取得互联网支付业务许可的支付机构。</w:t>
      </w:r>
    </w:p>
    <w:p>
      <w:pPr>
        <w:ind w:firstLine="602" w:firstLineChars="200"/>
        <w:rPr>
          <w:rFonts w:hint="eastAsia"/>
          <w:b/>
          <w:bCs/>
          <w:sz w:val="30"/>
          <w:szCs w:val="30"/>
        </w:rPr>
      </w:pPr>
      <w:r>
        <w:rPr>
          <w:rFonts w:hint="eastAsia"/>
          <w:b/>
          <w:bCs/>
          <w:sz w:val="30"/>
          <w:szCs w:val="30"/>
        </w:rPr>
        <w:t>二、付款人授权与付款人开户机构管理</w:t>
      </w:r>
    </w:p>
    <w:p>
      <w:pPr>
        <w:ind w:firstLine="600" w:firstLineChars="200"/>
        <w:rPr>
          <w:rFonts w:hint="eastAsia"/>
          <w:sz w:val="30"/>
          <w:szCs w:val="30"/>
        </w:rPr>
      </w:pPr>
      <w:r>
        <w:rPr>
          <w:rFonts w:hint="eastAsia"/>
          <w:sz w:val="30"/>
          <w:szCs w:val="30"/>
        </w:rPr>
        <w:t>（一）付款人开户机构应当事先或者在为付款人办理首笔代收业务时取得付款人的授权。授权应当明确收款人名称、付款用途、付款账号、付款周期或者条件、授权期限、服务费用等事项。</w:t>
      </w:r>
    </w:p>
    <w:p>
      <w:pPr>
        <w:ind w:firstLine="600" w:firstLineChars="200"/>
        <w:rPr>
          <w:rFonts w:hint="eastAsia"/>
          <w:sz w:val="30"/>
          <w:szCs w:val="30"/>
        </w:rPr>
      </w:pPr>
      <w:r>
        <w:rPr>
          <w:rFonts w:hint="eastAsia"/>
          <w:sz w:val="30"/>
          <w:szCs w:val="30"/>
        </w:rPr>
        <w:t>（二）付款人开户机构应当根据付款人授权及本机构风险策略等设置代收业务风险防控措施。对与付款人以非面对面方式建立授权关系的，应当设置更高级别风险防控措施。付款人开户机构应当通过有效方式向付款人明示所开通代收业务相关信息，包括但不限于业务风险、付款限额等风险防控措施、异议处理方式、授权变更与终止方式以及责任承担方式等。</w:t>
      </w:r>
    </w:p>
    <w:p>
      <w:pPr>
        <w:ind w:firstLine="600" w:firstLineChars="200"/>
        <w:rPr>
          <w:rFonts w:hint="eastAsia"/>
          <w:sz w:val="30"/>
          <w:szCs w:val="30"/>
        </w:rPr>
      </w:pPr>
      <w:r>
        <w:rPr>
          <w:rFonts w:hint="eastAsia"/>
          <w:sz w:val="30"/>
          <w:szCs w:val="30"/>
        </w:rPr>
        <w:t>（三）付款人开户机构应当在风险可控前提下，采取便利化方式与付款人建立、变更或者终止授权关系，并及时告知付款人授权状态。可以采取的方式包括但不限于通过柜面、自助机具、网络、电话、短信等。</w:t>
      </w:r>
    </w:p>
    <w:p>
      <w:pPr>
        <w:ind w:firstLine="600" w:firstLineChars="200"/>
        <w:rPr>
          <w:rFonts w:hint="eastAsia"/>
          <w:sz w:val="30"/>
          <w:szCs w:val="30"/>
        </w:rPr>
      </w:pPr>
      <w:r>
        <w:rPr>
          <w:rFonts w:hint="eastAsia"/>
          <w:sz w:val="30"/>
          <w:szCs w:val="30"/>
        </w:rPr>
        <w:t>付款人开户机构应当妥善留存、及时更新付款人相关授权信息，并方便付款人查询本人代收业务授权信息。</w:t>
      </w:r>
    </w:p>
    <w:p>
      <w:pPr>
        <w:ind w:firstLine="600" w:firstLineChars="200"/>
        <w:rPr>
          <w:rFonts w:hint="eastAsia"/>
          <w:sz w:val="30"/>
          <w:szCs w:val="30"/>
        </w:rPr>
      </w:pPr>
      <w:r>
        <w:rPr>
          <w:rFonts w:hint="eastAsia"/>
          <w:sz w:val="30"/>
          <w:szCs w:val="30"/>
        </w:rPr>
        <w:t>（四）付款人开户机构应当在交易过程中对授权事项进行逐笔验证。未建立代收业务授权关系或者与授权事项不符的，付款人开户机构应当拒绝办理相关业务，并向付款人提示风险。付款人开户机构应当通过短信、微信或邮件等事先约定的有效方式及时向付款人逐笔提示代收业务信息，对异常交易还应当及时联系付款人进行核实、向付款人提示风险。提示代收业务信息包括但不限于收款人名称、付款金额、适用场景等。</w:t>
      </w:r>
    </w:p>
    <w:p>
      <w:pPr>
        <w:ind w:firstLine="600" w:firstLineChars="200"/>
        <w:rPr>
          <w:rFonts w:hint="eastAsia"/>
          <w:sz w:val="30"/>
          <w:szCs w:val="30"/>
        </w:rPr>
      </w:pPr>
      <w:r>
        <w:rPr>
          <w:rFonts w:hint="eastAsia"/>
          <w:sz w:val="30"/>
          <w:szCs w:val="30"/>
        </w:rPr>
        <w:t>（五）付款人开户机构应当按照合法、正当、必要的原则处理（包括收集、存储、使用、加工、传输、提供、公开等）代收业务所需信息，并采取必要措施确保信息安全，防止信息泄露、被篡改或丢失。</w:t>
      </w:r>
    </w:p>
    <w:p>
      <w:pPr>
        <w:ind w:firstLine="600" w:firstLineChars="200"/>
        <w:rPr>
          <w:rFonts w:hint="eastAsia"/>
          <w:sz w:val="30"/>
          <w:szCs w:val="30"/>
        </w:rPr>
      </w:pPr>
      <w:r>
        <w:rPr>
          <w:rFonts w:hint="eastAsia"/>
          <w:sz w:val="30"/>
          <w:szCs w:val="30"/>
        </w:rPr>
        <w:t>付款人开户机构应当通过协议等方式向付款人明示处理信息的目的、方式和范围，并征得付款人同意；应当遵循公平原则确定协议主体的权利义务，采取合理方式提示付款人注意与其有重大利害关系的协议条款，并对相关条款予以说明。</w:t>
      </w:r>
    </w:p>
    <w:p>
      <w:pPr>
        <w:ind w:firstLine="602" w:firstLineChars="200"/>
        <w:rPr>
          <w:rFonts w:hint="eastAsia"/>
          <w:b/>
          <w:bCs/>
          <w:sz w:val="30"/>
          <w:szCs w:val="30"/>
        </w:rPr>
      </w:pPr>
      <w:r>
        <w:rPr>
          <w:rFonts w:hint="eastAsia"/>
          <w:b/>
          <w:bCs/>
          <w:sz w:val="30"/>
          <w:szCs w:val="30"/>
        </w:rPr>
        <w:t>三、收款人与代收机构管理</w:t>
      </w:r>
    </w:p>
    <w:p>
      <w:pPr>
        <w:ind w:firstLine="600" w:firstLineChars="200"/>
        <w:rPr>
          <w:rFonts w:hint="eastAsia"/>
          <w:sz w:val="30"/>
          <w:szCs w:val="30"/>
        </w:rPr>
      </w:pPr>
      <w:r>
        <w:rPr>
          <w:rFonts w:hint="eastAsia"/>
          <w:sz w:val="30"/>
          <w:szCs w:val="30"/>
        </w:rPr>
        <w:t>（一）代收机构应当按规定对收款人开展客户身份识别，采取有效措施核实收款人身份和经营活动的真实性和合法性，以及收款人采用代收服务确有需要且符合本通知有关适用场景要求。代收机构不得为非法设立的组织及违法违规交易提供代收服务。</w:t>
      </w:r>
    </w:p>
    <w:p>
      <w:pPr>
        <w:ind w:firstLine="600" w:firstLineChars="200"/>
        <w:rPr>
          <w:rFonts w:hint="eastAsia"/>
          <w:sz w:val="30"/>
          <w:szCs w:val="30"/>
        </w:rPr>
      </w:pPr>
      <w:r>
        <w:rPr>
          <w:rFonts w:hint="eastAsia"/>
          <w:sz w:val="30"/>
          <w:szCs w:val="30"/>
        </w:rPr>
        <w:t>（二）代收机构应当与收款人签订代收业务协议。代收业务协议约定事项包括但不限于收款账户、代收资金用途、代收资金结算周期或者条件、服务费用、风险防控措施、异议处理等。收款账户应当为收款人同名账户。收款人因同一品牌连锁式经营、集团化管理等通过代收业务办理资金归集业务确需使用非同名账户办理代收资金入账的，代收机构应当审核收款账户开户人的身份证明材料，并通过相关资金归集业务协议等确认收款人与该收款账户及收款账户开户人之间存在合法资金管理关系。</w:t>
      </w:r>
    </w:p>
    <w:p>
      <w:pPr>
        <w:ind w:firstLine="600" w:firstLineChars="200"/>
        <w:rPr>
          <w:rFonts w:hint="eastAsia"/>
          <w:sz w:val="30"/>
          <w:szCs w:val="30"/>
        </w:rPr>
      </w:pPr>
      <w:r>
        <w:rPr>
          <w:rFonts w:hint="eastAsia"/>
          <w:sz w:val="30"/>
          <w:szCs w:val="30"/>
        </w:rPr>
        <w:t>（三）代收机构应当在业务处理过程中逐笔确认代收业务协议约定事项以及收款人与付款人的授权状态。对于收款人委托办理业务与代收业务协议约定事项不符的，代收机构应当拒绝办理相关业务。</w:t>
      </w:r>
    </w:p>
    <w:p>
      <w:pPr>
        <w:ind w:firstLine="600" w:firstLineChars="200"/>
        <w:rPr>
          <w:rFonts w:hint="eastAsia"/>
          <w:sz w:val="30"/>
          <w:szCs w:val="30"/>
        </w:rPr>
      </w:pPr>
      <w:r>
        <w:rPr>
          <w:rFonts w:hint="eastAsia"/>
          <w:sz w:val="30"/>
          <w:szCs w:val="30"/>
        </w:rPr>
        <w:t>（四）代收机构应当按照划分的收款人风险等级对收款人实施分类管理。对于风险等级较高的收款人，可以采取审核留存收款人与付款人授权协议、设置交易限额、建立保证金机制、延迟资金结算等措施。</w:t>
      </w:r>
    </w:p>
    <w:p>
      <w:pPr>
        <w:ind w:firstLine="600" w:firstLineChars="200"/>
        <w:rPr>
          <w:rFonts w:hint="eastAsia"/>
          <w:sz w:val="30"/>
          <w:szCs w:val="30"/>
        </w:rPr>
      </w:pPr>
      <w:r>
        <w:rPr>
          <w:rFonts w:hint="eastAsia"/>
          <w:sz w:val="30"/>
          <w:szCs w:val="30"/>
        </w:rPr>
        <w:t>（五）代收机构应当定期检查收款人合规性，采取有效措施禁止滥用、出借、出租、出售代收业务接口，或伪造、变造代收业务交易信息。对于收款人疑似违规使用代收业务接口，或者伪造、变造代收业务交易信息的，代收机构应当及时调查核实，并采取延迟资金结算、暂停收款人代收业务等措施。经查实收款人伪造、变造代收业务交易信息的，代收机构应当拒绝办理相关业务，并及时将情况报送中国支付清算协会和清算机构；涉嫌违法犯罪的，还应当及时报告公安机关。</w:t>
      </w:r>
    </w:p>
    <w:p>
      <w:pPr>
        <w:ind w:firstLine="600" w:firstLineChars="200"/>
        <w:rPr>
          <w:rFonts w:hint="eastAsia"/>
          <w:sz w:val="30"/>
          <w:szCs w:val="30"/>
        </w:rPr>
      </w:pPr>
      <w:r>
        <w:rPr>
          <w:rFonts w:hint="eastAsia"/>
          <w:sz w:val="30"/>
          <w:szCs w:val="30"/>
        </w:rPr>
        <w:t>（六）代收机构办理跨机构交易业务应当按照清算机构相关代收业务规则发送交易信息，确保交易信息的真实性、完整性、可追溯性，不得虚构、篡改或者隐匿交易信息。</w:t>
      </w:r>
    </w:p>
    <w:p>
      <w:pPr>
        <w:ind w:firstLine="600" w:firstLineChars="200"/>
        <w:rPr>
          <w:rFonts w:hint="eastAsia"/>
          <w:sz w:val="30"/>
          <w:szCs w:val="30"/>
        </w:rPr>
      </w:pPr>
      <w:r>
        <w:rPr>
          <w:rFonts w:hint="eastAsia"/>
          <w:sz w:val="30"/>
          <w:szCs w:val="30"/>
        </w:rPr>
        <w:t>（七）代收机构应当按照合法、正当、必要的原则处理（包括收集、存储、使用、加工、传输、提供、公开等）代收业务所需信息，并采取必要措施确保信息安全，防止信息泄露、被篡改或丢失。</w:t>
      </w:r>
    </w:p>
    <w:p>
      <w:pPr>
        <w:ind w:firstLine="600" w:firstLineChars="200"/>
        <w:rPr>
          <w:rFonts w:hint="eastAsia"/>
          <w:sz w:val="30"/>
          <w:szCs w:val="30"/>
        </w:rPr>
      </w:pPr>
      <w:r>
        <w:rPr>
          <w:rFonts w:hint="eastAsia"/>
          <w:sz w:val="30"/>
          <w:szCs w:val="30"/>
        </w:rPr>
        <w:t>代收机构应当通过协议等方式向收款人明示处理信息的目的、方式和范围，并征得收款人同意；应当遵循公平原则确定协议主体的权利义务，采取合理方式提示收款人注意与其有重大利害关系的协议条款，并对相关条款予以说明。</w:t>
      </w:r>
    </w:p>
    <w:p>
      <w:pPr>
        <w:ind w:firstLine="602" w:firstLineChars="200"/>
        <w:rPr>
          <w:rFonts w:hint="eastAsia"/>
          <w:b/>
          <w:bCs/>
          <w:sz w:val="30"/>
          <w:szCs w:val="30"/>
        </w:rPr>
      </w:pPr>
      <w:r>
        <w:rPr>
          <w:rFonts w:hint="eastAsia"/>
          <w:b/>
          <w:bCs/>
          <w:sz w:val="30"/>
          <w:szCs w:val="30"/>
        </w:rPr>
        <w:t>四、代收业务适用场景</w:t>
      </w:r>
    </w:p>
    <w:p>
      <w:pPr>
        <w:ind w:firstLine="600" w:firstLineChars="200"/>
        <w:rPr>
          <w:rFonts w:hint="eastAsia"/>
          <w:sz w:val="30"/>
          <w:szCs w:val="30"/>
        </w:rPr>
      </w:pPr>
      <w:r>
        <w:rPr>
          <w:rFonts w:hint="eastAsia"/>
          <w:sz w:val="30"/>
          <w:szCs w:val="30"/>
        </w:rPr>
        <w:t>（一）对于付款人与收款人、付款人与付款人开户机构、收款人与代收机构分别签订代收服务协议的，付款人开户机构可以</w:t>
      </w:r>
    </w:p>
    <w:p>
      <w:pPr>
        <w:ind w:firstLine="600" w:firstLineChars="200"/>
        <w:rPr>
          <w:rFonts w:hint="eastAsia"/>
          <w:sz w:val="30"/>
          <w:szCs w:val="30"/>
        </w:rPr>
      </w:pPr>
      <w:r>
        <w:rPr>
          <w:rFonts w:hint="eastAsia"/>
          <w:sz w:val="30"/>
          <w:szCs w:val="30"/>
        </w:rPr>
        <w:t>支持付款人（代收机构可以根据收款人委托）通过代收业务办理便民服务、政府服务、通讯服务、非投资型保险等相关费用缴纳，公益捐款，信用卡还款、银行及国务院银行业监督管理机构批准设立的有发放贷款资质许可的其他机构的贷款偿还，银行账户充值，资金归集，以及缴纳租金、会员费用等小额便民业务。具体代收业务适用场景详见附件。</w:t>
      </w:r>
    </w:p>
    <w:p>
      <w:pPr>
        <w:ind w:firstLine="600" w:firstLineChars="200"/>
        <w:rPr>
          <w:rFonts w:hint="eastAsia"/>
          <w:sz w:val="30"/>
          <w:szCs w:val="30"/>
        </w:rPr>
      </w:pPr>
      <w:r>
        <w:rPr>
          <w:rFonts w:hint="eastAsia"/>
          <w:sz w:val="30"/>
          <w:szCs w:val="30"/>
        </w:rPr>
        <w:t>（二）对于付款人、收款人及付款人开户机构同时签订三方代收服务协议的，除第一项所列适用场景外，付款人开户机构还可以支持付款人（代收机构还可以根据收款人委托）通过代收业务缴纳教育培训费用、偿还小额贷款公司贷款、定期或者定额投资经国务院金融监督管理机构批准或者备案发行的基金或者理财产品、缴纳投资型保险费用等。具体代收业务适用场景详见附件。</w:t>
      </w:r>
    </w:p>
    <w:p>
      <w:pPr>
        <w:ind w:firstLine="600" w:firstLineChars="200"/>
        <w:rPr>
          <w:rFonts w:hint="eastAsia"/>
          <w:sz w:val="30"/>
          <w:szCs w:val="30"/>
        </w:rPr>
      </w:pPr>
      <w:r>
        <w:rPr>
          <w:rFonts w:hint="eastAsia"/>
          <w:sz w:val="30"/>
          <w:szCs w:val="30"/>
        </w:rPr>
        <w:t>（三）付款人通过代收业务办理本人同名信用卡或者银行贷款还款业务的，付款人开户机构不得拒绝办理相关业务，法律法规或者相关监管规定禁止的除外。</w:t>
      </w:r>
    </w:p>
    <w:p>
      <w:pPr>
        <w:ind w:firstLine="600" w:firstLineChars="200"/>
        <w:rPr>
          <w:rFonts w:hint="eastAsia"/>
          <w:sz w:val="30"/>
          <w:szCs w:val="30"/>
        </w:rPr>
      </w:pPr>
      <w:r>
        <w:rPr>
          <w:rFonts w:hint="eastAsia"/>
          <w:sz w:val="30"/>
          <w:szCs w:val="30"/>
        </w:rPr>
        <w:t>（四）代收机构通过代收业务为收款人办理资金归集、信用卡及贷款还款等业务，且涉及支付账户与银行账户之间资金划转的，还应当遵守《非银行支付机构网络支付业务管理办法》（中国人民银行公告〔2015〕第43号公布）有关银行账户与支付账户应属于同一客户等规定。</w:t>
      </w:r>
    </w:p>
    <w:p>
      <w:pPr>
        <w:ind w:firstLine="600" w:firstLineChars="200"/>
        <w:rPr>
          <w:rFonts w:hint="eastAsia"/>
          <w:sz w:val="30"/>
          <w:szCs w:val="30"/>
        </w:rPr>
      </w:pPr>
      <w:r>
        <w:rPr>
          <w:rFonts w:hint="eastAsia"/>
          <w:sz w:val="30"/>
          <w:szCs w:val="30"/>
        </w:rPr>
        <w:t>（五）付款人开户机构、代收机构应当采取有效措施控制代收业务适用场景范围，不得通过代收业务为本通知规定以外的场景办理资金转移。</w:t>
      </w:r>
    </w:p>
    <w:p>
      <w:pPr>
        <w:ind w:firstLine="600" w:firstLineChars="200"/>
        <w:rPr>
          <w:rFonts w:hint="eastAsia"/>
          <w:sz w:val="30"/>
          <w:szCs w:val="30"/>
        </w:rPr>
      </w:pPr>
      <w:r>
        <w:rPr>
          <w:rFonts w:hint="eastAsia"/>
          <w:sz w:val="30"/>
          <w:szCs w:val="30"/>
        </w:rPr>
        <w:t>（六）银行或者支付机构在每次交易活动完成后向付款人开户机构发送支付指令、但无需付款人逐笔验证即从付款人支付账户或者银行账户划转资金的支付业务，执行《非银行支付机构网络支付业务管理办法》有关小额免密支付业务的规定，不得通过代收业务办理。</w:t>
      </w:r>
    </w:p>
    <w:p>
      <w:pPr>
        <w:ind w:firstLine="602" w:firstLineChars="200"/>
        <w:rPr>
          <w:rFonts w:hint="eastAsia"/>
          <w:b/>
          <w:bCs/>
          <w:sz w:val="30"/>
          <w:szCs w:val="30"/>
        </w:rPr>
      </w:pPr>
      <w:r>
        <w:rPr>
          <w:rFonts w:hint="eastAsia"/>
          <w:b/>
          <w:bCs/>
          <w:sz w:val="30"/>
          <w:szCs w:val="30"/>
        </w:rPr>
        <w:t>五、清算机构业务规范</w:t>
      </w:r>
    </w:p>
    <w:p>
      <w:pPr>
        <w:ind w:firstLine="600" w:firstLineChars="200"/>
        <w:rPr>
          <w:rFonts w:hint="eastAsia"/>
          <w:sz w:val="30"/>
          <w:szCs w:val="30"/>
        </w:rPr>
      </w:pPr>
      <w:r>
        <w:rPr>
          <w:rFonts w:hint="eastAsia"/>
          <w:sz w:val="30"/>
          <w:szCs w:val="30"/>
        </w:rPr>
        <w:t>（一）清算机构为代收业务提供转接清算服务的，应当制定代收业务细则和代收业务报文标准。相关制度应当向成员机构公布，并报告中国人民银行。</w:t>
      </w:r>
    </w:p>
    <w:p>
      <w:pPr>
        <w:ind w:firstLine="600" w:firstLineChars="200"/>
        <w:rPr>
          <w:rFonts w:hint="eastAsia"/>
          <w:sz w:val="30"/>
          <w:szCs w:val="30"/>
        </w:rPr>
      </w:pPr>
      <w:r>
        <w:rPr>
          <w:rFonts w:hint="eastAsia"/>
          <w:sz w:val="30"/>
          <w:szCs w:val="30"/>
        </w:rPr>
        <w:t>（二）清算机构应当建立健全代收业务风险防控机制，完善可疑交易监测模型，及时向成员机构提示代收业务风险。对确认存在违法违规行为的收款人、付款人开户机构、代收机构，及时采取有效控制措施，包括但不限于暂停提供转接清算服务等。</w:t>
      </w:r>
    </w:p>
    <w:p>
      <w:pPr>
        <w:ind w:firstLine="602" w:firstLineChars="200"/>
        <w:rPr>
          <w:rFonts w:hint="eastAsia"/>
          <w:b/>
          <w:bCs/>
          <w:sz w:val="30"/>
          <w:szCs w:val="30"/>
        </w:rPr>
      </w:pPr>
      <w:r>
        <w:rPr>
          <w:rFonts w:hint="eastAsia"/>
          <w:b/>
          <w:bCs/>
          <w:sz w:val="30"/>
          <w:szCs w:val="30"/>
        </w:rPr>
        <w:t>六、监督管理</w:t>
      </w:r>
    </w:p>
    <w:p>
      <w:pPr>
        <w:ind w:firstLine="600" w:firstLineChars="200"/>
        <w:rPr>
          <w:rFonts w:hint="eastAsia"/>
          <w:sz w:val="30"/>
          <w:szCs w:val="30"/>
        </w:rPr>
      </w:pPr>
      <w:r>
        <w:rPr>
          <w:rFonts w:hint="eastAsia"/>
          <w:sz w:val="30"/>
          <w:szCs w:val="30"/>
        </w:rPr>
        <w:t>（一）中国人民银行分支机构应当切实履行属地监管职责，将本通知执行情况纳入业务检查重点，加大对违规行为的处罚力度。情节严重的，应当及时报告中国人民银行。</w:t>
      </w:r>
    </w:p>
    <w:p>
      <w:pPr>
        <w:ind w:firstLine="600" w:firstLineChars="200"/>
        <w:rPr>
          <w:rFonts w:hint="eastAsia"/>
          <w:sz w:val="30"/>
          <w:szCs w:val="30"/>
        </w:rPr>
      </w:pPr>
      <w:r>
        <w:rPr>
          <w:rFonts w:hint="eastAsia"/>
          <w:sz w:val="30"/>
          <w:szCs w:val="30"/>
        </w:rPr>
        <w:t>（二）银行、支付机构违反本通知规定，情节轻微的，由中国人民银行或其分支机构进行通报，并责令限期整改；情节严重或者逾期未改正的，按照《中华人民共和国中国人民银行法》《中华人民共和国反洗钱法》相关规定予以处罚，并可以责令清算机构暂停为其提供代收业务相关转接清算服务。</w:t>
      </w:r>
    </w:p>
    <w:p>
      <w:pPr>
        <w:ind w:firstLine="600" w:firstLineChars="200"/>
        <w:rPr>
          <w:rFonts w:hint="eastAsia"/>
          <w:sz w:val="30"/>
          <w:szCs w:val="30"/>
        </w:rPr>
      </w:pPr>
      <w:r>
        <w:rPr>
          <w:rFonts w:hint="eastAsia"/>
          <w:sz w:val="30"/>
          <w:szCs w:val="30"/>
        </w:rPr>
        <w:t>（三）清算机构违反本通知规定，或者明知、应知成员机构违反本通知规定仍为其提供代收业务相关转接清算服务，情节轻微的，由中国人民银行或其分支机构进行通报，并责令限期整改；情节严重或者逾期未改正的，按照《中华人民共和国中国人民银行法》相关规定予以处罚。</w:t>
      </w:r>
    </w:p>
    <w:p>
      <w:pPr>
        <w:ind w:firstLine="602" w:firstLineChars="200"/>
        <w:rPr>
          <w:rFonts w:hint="eastAsia"/>
          <w:b/>
          <w:bCs/>
          <w:sz w:val="30"/>
          <w:szCs w:val="30"/>
        </w:rPr>
      </w:pPr>
      <w:r>
        <w:rPr>
          <w:rFonts w:hint="eastAsia"/>
          <w:b/>
          <w:bCs/>
          <w:sz w:val="30"/>
          <w:szCs w:val="30"/>
        </w:rPr>
        <w:t>七、附则</w:t>
      </w:r>
    </w:p>
    <w:p>
      <w:pPr>
        <w:ind w:firstLine="600" w:firstLineChars="200"/>
        <w:rPr>
          <w:rFonts w:hint="eastAsia"/>
          <w:sz w:val="30"/>
          <w:szCs w:val="30"/>
        </w:rPr>
      </w:pPr>
      <w:r>
        <w:rPr>
          <w:rFonts w:hint="eastAsia"/>
          <w:sz w:val="30"/>
          <w:szCs w:val="30"/>
        </w:rPr>
        <w:t>（一）银行、支付机构办理本机构的收款人、付款人之间代收业务的，适用本通知规定。</w:t>
      </w:r>
    </w:p>
    <w:p>
      <w:pPr>
        <w:ind w:firstLine="600" w:firstLineChars="200"/>
        <w:rPr>
          <w:rFonts w:hint="eastAsia"/>
          <w:sz w:val="30"/>
          <w:szCs w:val="30"/>
        </w:rPr>
      </w:pPr>
      <w:r>
        <w:rPr>
          <w:rFonts w:hint="eastAsia"/>
          <w:sz w:val="30"/>
          <w:szCs w:val="30"/>
        </w:rPr>
        <w:t>（二）本通知自发布之日起六个月后施行。银行、支付机构和清算机构应当对照本通知要求对存量代收业务进行梳理，制定整改方案并报告中国人民银行或其分支机构同意后执行。</w:t>
      </w:r>
    </w:p>
    <w:p>
      <w:pPr>
        <w:ind w:firstLine="600" w:firstLineChars="200"/>
        <w:rPr>
          <w:rFonts w:hint="eastAsia"/>
          <w:sz w:val="30"/>
          <w:szCs w:val="30"/>
          <w:lang w:eastAsia="zh-CN"/>
        </w:rPr>
      </w:pPr>
      <w:r>
        <w:rPr>
          <w:rFonts w:hint="eastAsia"/>
          <w:sz w:val="30"/>
          <w:szCs w:val="30"/>
        </w:rPr>
        <w:t>请中国人民银行分支机构将本通知转发至辖区内城市商业银行、农村商业银行、农村合作银行、农村信用社、村镇银行、外资银行</w:t>
      </w:r>
      <w:r>
        <w:rPr>
          <w:rFonts w:hint="eastAsia"/>
          <w:sz w:val="30"/>
          <w:szCs w:val="30"/>
          <w:lang w:eastAsia="zh-CN"/>
        </w:rPr>
        <w:t>。</w:t>
      </w:r>
    </w:p>
    <w:p>
      <w:pPr>
        <w:ind w:firstLine="600" w:firstLineChars="200"/>
        <w:rPr>
          <w:rFonts w:hint="eastAsia"/>
          <w:sz w:val="30"/>
          <w:szCs w:val="30"/>
          <w:lang w:eastAsia="zh-CN"/>
        </w:rPr>
      </w:pPr>
    </w:p>
    <w:p>
      <w:pPr>
        <w:ind w:firstLine="600" w:firstLineChars="200"/>
        <w:rPr>
          <w:rFonts w:hint="eastAsia"/>
          <w:sz w:val="30"/>
          <w:szCs w:val="30"/>
        </w:rPr>
      </w:pPr>
      <w:r>
        <w:rPr>
          <w:rFonts w:hint="eastAsia"/>
          <w:sz w:val="30"/>
          <w:szCs w:val="30"/>
        </w:rPr>
        <w:t>附件：代收业务适用场景</w:t>
      </w:r>
    </w:p>
    <w:p>
      <w:pPr>
        <w:ind w:firstLine="600" w:firstLineChars="200"/>
        <w:rPr>
          <w:rFonts w:hint="eastAsia"/>
          <w:sz w:val="30"/>
          <w:szCs w:val="30"/>
        </w:rPr>
      </w:pPr>
    </w:p>
    <w:p>
      <w:pPr>
        <w:jc w:val="right"/>
        <w:rPr>
          <w:rFonts w:hint="eastAsia"/>
          <w:sz w:val="30"/>
          <w:szCs w:val="30"/>
        </w:rPr>
      </w:pPr>
      <w:r>
        <w:rPr>
          <w:rFonts w:hint="eastAsia"/>
          <w:sz w:val="30"/>
          <w:szCs w:val="30"/>
        </w:rPr>
        <w:t>中国人民银行</w:t>
      </w:r>
    </w:p>
    <w:p>
      <w:pPr>
        <w:jc w:val="right"/>
        <w:rPr>
          <w:rFonts w:hint="eastAsia"/>
          <w:sz w:val="30"/>
          <w:szCs w:val="30"/>
        </w:rPr>
      </w:pPr>
      <w:r>
        <w:rPr>
          <w:rFonts w:hint="eastAsia"/>
          <w:sz w:val="30"/>
          <w:szCs w:val="30"/>
        </w:rPr>
        <w:t>2020年10月16日</w:t>
      </w:r>
    </w:p>
    <w:p>
      <w:pPr>
        <w:bidi w:val="0"/>
        <w:rPr>
          <w:rFonts w:ascii="Times New Roman" w:hAnsi="Times New Roman" w:eastAsia="宋体" w:cstheme="minorBidi"/>
          <w:kern w:val="2"/>
          <w:sz w:val="21"/>
          <w:szCs w:val="24"/>
          <w:lang w:val="en-US" w:eastAsia="zh-CN" w:bidi="ar-SA"/>
        </w:rPr>
      </w:pPr>
    </w:p>
    <w:p>
      <w:pPr>
        <w:bidi w:val="0"/>
        <w:rPr>
          <w:lang w:val="en-US" w:eastAsia="zh-CN"/>
        </w:rPr>
      </w:pPr>
    </w:p>
    <w:p>
      <w:pPr>
        <w:bidi w:val="0"/>
        <w:rPr>
          <w:lang w:val="en-US" w:eastAsia="zh-CN"/>
        </w:rPr>
      </w:pPr>
    </w:p>
    <w:p>
      <w:pPr>
        <w:bidi w:val="0"/>
        <w:rPr>
          <w:lang w:val="en-US" w:eastAsia="zh-CN"/>
        </w:rPr>
      </w:pPr>
    </w:p>
    <w:p>
      <w:pPr>
        <w:tabs>
          <w:tab w:val="left" w:pos="2893"/>
        </w:tabs>
        <w:bidi w:val="0"/>
        <w:jc w:val="left"/>
        <w:rPr>
          <w:lang w:val="en-US" w:eastAsia="zh-CN"/>
        </w:rPr>
        <w:sectPr>
          <w:pgSz w:w="11906" w:h="16838"/>
          <w:pgMar w:top="1440" w:right="1800" w:bottom="1440" w:left="1800" w:header="851" w:footer="992" w:gutter="0"/>
          <w:cols w:space="425" w:num="1"/>
          <w:docGrid w:type="lines" w:linePitch="312" w:charSpace="0"/>
        </w:sectPr>
      </w:pPr>
    </w:p>
    <w:p>
      <w:pPr>
        <w:pStyle w:val="10"/>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0" w:firstLineChars="0"/>
        <w:jc w:val="both"/>
        <w:textAlignment w:val="auto"/>
        <w:outlineLvl w:val="9"/>
        <w:rPr>
          <w:rFonts w:hint="eastAsia" w:ascii="黑体" w:hAnsi="黑体" w:eastAsia="黑体"/>
          <w:sz w:val="32"/>
          <w:szCs w:val="32"/>
          <w:lang w:eastAsia="zh-CN"/>
        </w:rPr>
      </w:pPr>
      <w:r>
        <w:rPr>
          <w:rFonts w:hint="eastAsia" w:ascii="黑体" w:hAnsi="黑体" w:eastAsia="黑体"/>
          <w:sz w:val="32"/>
          <w:szCs w:val="32"/>
        </w:rPr>
        <w:t>附</w:t>
      </w:r>
      <w:r>
        <w:rPr>
          <w:rFonts w:hint="eastAsia" w:ascii="黑体" w:hAnsi="黑体" w:eastAsia="黑体"/>
          <w:sz w:val="32"/>
          <w:szCs w:val="32"/>
          <w:lang w:eastAsia="zh-CN"/>
        </w:rPr>
        <w:t>件</w:t>
      </w:r>
    </w:p>
    <w:p>
      <w:pPr>
        <w:pStyle w:val="10"/>
        <w:keepNext w:val="0"/>
        <w:keepLines w:val="0"/>
        <w:pageBreakBefore w:val="0"/>
        <w:widowControl w:val="0"/>
        <w:kinsoku/>
        <w:wordWrap/>
        <w:overflowPunct/>
        <w:topLinePunct w:val="0"/>
        <w:autoSpaceDE/>
        <w:autoSpaceDN/>
        <w:bidi w:val="0"/>
        <w:adjustRightInd/>
        <w:snapToGrid/>
        <w:spacing w:before="0" w:beforeLines="0" w:after="0" w:afterLines="0" w:line="720" w:lineRule="exact"/>
        <w:ind w:left="0" w:leftChars="0" w:right="0" w:rightChars="0" w:firstLine="0" w:firstLineChars="0"/>
        <w:jc w:val="center"/>
        <w:textAlignment w:val="auto"/>
        <w:outlineLvl w:val="9"/>
        <w:rPr>
          <w:rFonts w:hint="eastAsia" w:ascii="方正小标宋_GBK" w:hAnsi="方正小标宋_GBK" w:eastAsia="方正小标宋_GBK"/>
          <w:sz w:val="44"/>
          <w:szCs w:val="32"/>
        </w:rPr>
      </w:pPr>
      <w:r>
        <w:rPr>
          <w:rFonts w:hint="eastAsia" w:ascii="方正小标宋_GBK" w:hAnsi="方正小标宋_GBK" w:eastAsia="方正小标宋_GBK"/>
          <w:sz w:val="44"/>
          <w:szCs w:val="32"/>
        </w:rPr>
        <w:t>代收业务适用场景</w:t>
      </w:r>
    </w:p>
    <w:tbl>
      <w:tblPr>
        <w:tblStyle w:val="7"/>
        <w:tblpPr w:leftFromText="180" w:rightFromText="180" w:vertAnchor="text" w:horzAnchor="page" w:tblpX="1245" w:tblpY="735"/>
        <w:tblOverlap w:val="never"/>
        <w:tblW w:w="143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834"/>
        <w:gridCol w:w="1054"/>
        <w:gridCol w:w="1620"/>
        <w:gridCol w:w="8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16" w:hRule="atLeast"/>
        </w:trPr>
        <w:tc>
          <w:tcPr>
            <w:tcW w:w="5508" w:type="dxa"/>
            <w:gridSpan w:val="3"/>
            <w:noWrap w:val="0"/>
            <w:vAlign w:val="center"/>
          </w:tcPr>
          <w:p>
            <w:pPr>
              <w:jc w:val="center"/>
              <w:rPr>
                <w:b/>
                <w:bCs/>
              </w:rPr>
            </w:pPr>
            <w:r>
              <w:rPr>
                <w:rFonts w:hint="eastAsia" w:ascii="仿宋_GB2312" w:hAnsi="仿宋_GB2312" w:eastAsia="仿宋_GB2312"/>
                <w:b/>
                <w:bCs/>
                <w:sz w:val="24"/>
              </w:rPr>
              <w:t>类型</w:t>
            </w:r>
          </w:p>
        </w:tc>
        <w:tc>
          <w:tcPr>
            <w:tcW w:w="8854" w:type="dxa"/>
            <w:noWrap w:val="0"/>
            <w:vAlign w:val="top"/>
          </w:tcPr>
          <w:p>
            <w:pPr>
              <w:jc w:val="center"/>
              <w:rPr>
                <w:b/>
                <w:bCs/>
              </w:rPr>
            </w:pPr>
            <w:r>
              <w:rPr>
                <w:rFonts w:hint="eastAsia" w:ascii="仿宋_GB2312" w:hAnsi="仿宋_GB2312" w:eastAsia="仿宋_GB2312"/>
                <w:b/>
                <w:bCs/>
                <w:sz w:val="24"/>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59" w:hRule="atLeast"/>
        </w:trPr>
        <w:tc>
          <w:tcPr>
            <w:tcW w:w="2834" w:type="dxa"/>
            <w:vMerge w:val="restart"/>
            <w:noWrap w:val="0"/>
            <w:vAlign w:val="center"/>
          </w:tcPr>
          <w:p>
            <w:pPr>
              <w:rPr>
                <w:rFonts w:hint="eastAsia" w:ascii="仿宋_GB2312" w:hAnsi="仿宋_GB2312" w:eastAsia="仿宋_GB2312"/>
                <w:b/>
                <w:bCs/>
                <w:sz w:val="24"/>
              </w:rPr>
            </w:pPr>
            <w:r>
              <w:rPr>
                <w:rFonts w:hint="eastAsia" w:ascii="仿宋_GB2312" w:hAnsi="仿宋_GB2312" w:eastAsia="仿宋_GB2312"/>
                <w:b/>
                <w:bCs/>
                <w:sz w:val="24"/>
              </w:rPr>
              <w:t>需符合代收业务适用场景第一</w:t>
            </w:r>
            <w:r>
              <w:rPr>
                <w:rFonts w:hint="eastAsia" w:ascii="仿宋_GB2312" w:hAnsi="仿宋_GB2312" w:eastAsia="仿宋_GB2312"/>
                <w:b/>
                <w:bCs/>
                <w:sz w:val="24"/>
                <w:lang w:eastAsia="zh-CN"/>
              </w:rPr>
              <w:t>项</w:t>
            </w:r>
            <w:r>
              <w:rPr>
                <w:rFonts w:hint="eastAsia" w:ascii="仿宋_GB2312" w:hAnsi="仿宋_GB2312" w:eastAsia="仿宋_GB2312"/>
                <w:b/>
                <w:bCs/>
                <w:sz w:val="24"/>
              </w:rPr>
              <w:t>规定的授权要求</w:t>
            </w:r>
          </w:p>
        </w:tc>
        <w:tc>
          <w:tcPr>
            <w:tcW w:w="2674" w:type="dxa"/>
            <w:gridSpan w:val="2"/>
            <w:noWrap w:val="0"/>
            <w:vAlign w:val="center"/>
          </w:tcPr>
          <w:p>
            <w:pPr>
              <w:rPr>
                <w:rFonts w:ascii="仿宋_GB2312" w:hAnsi="仿宋_GB2312" w:eastAsia="仿宋_GB2312"/>
                <w:sz w:val="24"/>
              </w:rPr>
            </w:pPr>
            <w:r>
              <w:rPr>
                <w:rFonts w:hint="eastAsia" w:ascii="仿宋_GB2312" w:hAnsi="仿宋_GB2312" w:eastAsia="仿宋_GB2312"/>
                <w:sz w:val="24"/>
              </w:rPr>
              <w:t>便民</w:t>
            </w:r>
            <w:r>
              <w:rPr>
                <w:rFonts w:hint="eastAsia" w:ascii="仿宋_GB2312" w:hAnsi="仿宋_GB2312" w:eastAsia="仿宋_GB2312"/>
                <w:sz w:val="24"/>
                <w:lang w:eastAsia="zh-CN"/>
              </w:rPr>
              <w:t>服务</w:t>
            </w:r>
            <w:r>
              <w:rPr>
                <w:rFonts w:hint="eastAsia" w:ascii="仿宋_GB2312" w:hAnsi="仿宋_GB2312" w:eastAsia="仿宋_GB2312"/>
                <w:sz w:val="24"/>
              </w:rPr>
              <w:t>缴费</w:t>
            </w:r>
          </w:p>
        </w:tc>
        <w:tc>
          <w:tcPr>
            <w:tcW w:w="8854" w:type="dxa"/>
            <w:noWrap w:val="0"/>
            <w:vAlign w:val="center"/>
          </w:tcPr>
          <w:p>
            <w:pPr>
              <w:pStyle w:val="10"/>
              <w:adjustRightInd w:val="0"/>
              <w:snapToGrid w:val="0"/>
              <w:spacing w:before="156" w:beforeLines="50"/>
              <w:rPr>
                <w:rFonts w:hint="eastAsia" w:ascii="仿宋_GB2312" w:hAnsi="仿宋_GB2312" w:eastAsia="仿宋_GB2312"/>
                <w:sz w:val="24"/>
                <w:szCs w:val="24"/>
              </w:rPr>
            </w:pPr>
            <w:r>
              <w:rPr>
                <w:rFonts w:hint="eastAsia" w:ascii="仿宋_GB2312" w:hAnsi="仿宋_GB2312" w:eastAsia="仿宋_GB2312"/>
                <w:sz w:val="24"/>
                <w:szCs w:val="24"/>
              </w:rPr>
              <w:t>水、电、煤、燃气、供暖、废弃物处理费用、物业费、交通出行费用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0" w:hRule="atLeast"/>
        </w:trPr>
        <w:tc>
          <w:tcPr>
            <w:tcW w:w="2834" w:type="dxa"/>
            <w:vMerge w:val="continue"/>
            <w:noWrap w:val="0"/>
            <w:vAlign w:val="center"/>
          </w:tcPr>
          <w:p>
            <w:pPr>
              <w:rPr>
                <w:rFonts w:ascii="仿宋_GB2312" w:hAnsi="仿宋_GB2312" w:eastAsia="仿宋_GB2312"/>
                <w:b/>
                <w:bCs/>
                <w:sz w:val="24"/>
              </w:rPr>
            </w:pPr>
          </w:p>
        </w:tc>
        <w:tc>
          <w:tcPr>
            <w:tcW w:w="2674" w:type="dxa"/>
            <w:gridSpan w:val="2"/>
            <w:noWrap w:val="0"/>
            <w:vAlign w:val="center"/>
          </w:tcPr>
          <w:p>
            <w:pPr>
              <w:rPr>
                <w:rFonts w:ascii="仿宋_GB2312" w:hAnsi="仿宋_GB2312" w:eastAsia="仿宋_GB2312"/>
                <w:sz w:val="24"/>
              </w:rPr>
            </w:pPr>
            <w:r>
              <w:rPr>
                <w:rFonts w:hint="eastAsia" w:ascii="仿宋_GB2312" w:hAnsi="仿宋_GB2312" w:eastAsia="仿宋_GB2312"/>
                <w:sz w:val="24"/>
              </w:rPr>
              <w:t>政府服务税费缴纳</w:t>
            </w:r>
          </w:p>
        </w:tc>
        <w:tc>
          <w:tcPr>
            <w:tcW w:w="8854" w:type="dxa"/>
            <w:noWrap w:val="0"/>
            <w:vAlign w:val="center"/>
          </w:tcPr>
          <w:p>
            <w:pPr>
              <w:pStyle w:val="10"/>
              <w:adjustRightInd w:val="0"/>
              <w:snapToGrid w:val="0"/>
              <w:spacing w:before="156" w:beforeLines="50"/>
              <w:rPr>
                <w:rFonts w:hint="eastAsia" w:ascii="仿宋_GB2312" w:hAnsi="仿宋_GB2312" w:eastAsia="仿宋_GB2312"/>
                <w:sz w:val="24"/>
                <w:szCs w:val="24"/>
              </w:rPr>
            </w:pPr>
            <w:r>
              <w:rPr>
                <w:rFonts w:hint="eastAsia" w:ascii="仿宋_GB2312" w:hAnsi="仿宋_GB2312" w:eastAsia="仿宋_GB2312"/>
                <w:sz w:val="24"/>
                <w:szCs w:val="24"/>
              </w:rPr>
              <w:t>涉及政府服务的税收、非税收入、五险一金等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0" w:hRule="atLeast"/>
        </w:trPr>
        <w:tc>
          <w:tcPr>
            <w:tcW w:w="2834" w:type="dxa"/>
            <w:vMerge w:val="continue"/>
            <w:noWrap w:val="0"/>
            <w:vAlign w:val="center"/>
          </w:tcPr>
          <w:p>
            <w:pPr>
              <w:rPr>
                <w:rFonts w:ascii="仿宋_GB2312" w:hAnsi="仿宋_GB2312" w:eastAsia="仿宋_GB2312"/>
                <w:b/>
                <w:bCs/>
                <w:sz w:val="24"/>
              </w:rPr>
            </w:pPr>
          </w:p>
        </w:tc>
        <w:tc>
          <w:tcPr>
            <w:tcW w:w="2674" w:type="dxa"/>
            <w:gridSpan w:val="2"/>
            <w:noWrap w:val="0"/>
            <w:vAlign w:val="center"/>
          </w:tcPr>
          <w:p>
            <w:pPr>
              <w:rPr>
                <w:rFonts w:ascii="仿宋_GB2312" w:hAnsi="仿宋_GB2312" w:eastAsia="仿宋_GB2312"/>
                <w:sz w:val="24"/>
              </w:rPr>
            </w:pPr>
            <w:r>
              <w:rPr>
                <w:rFonts w:hint="eastAsia" w:ascii="仿宋_GB2312" w:hAnsi="仿宋_GB2312" w:eastAsia="仿宋_GB2312"/>
                <w:sz w:val="24"/>
              </w:rPr>
              <w:t>公益捐款</w:t>
            </w:r>
          </w:p>
        </w:tc>
        <w:tc>
          <w:tcPr>
            <w:tcW w:w="8854" w:type="dxa"/>
            <w:noWrap w:val="0"/>
            <w:vAlign w:val="center"/>
          </w:tcPr>
          <w:p>
            <w:pPr>
              <w:pStyle w:val="10"/>
              <w:adjustRightInd w:val="0"/>
              <w:snapToGrid w:val="0"/>
              <w:spacing w:before="156" w:beforeLines="50"/>
              <w:rPr>
                <w:rFonts w:hint="eastAsia" w:ascii="仿宋_GB2312" w:hAnsi="仿宋_GB2312" w:eastAsia="仿宋_GB2312"/>
                <w:sz w:val="24"/>
                <w:szCs w:val="24"/>
              </w:rPr>
            </w:pPr>
            <w:r>
              <w:rPr>
                <w:rFonts w:hint="eastAsia" w:ascii="仿宋_GB2312" w:hAnsi="仿宋_GB2312" w:eastAsia="仿宋_GB2312"/>
                <w:sz w:val="24"/>
                <w:szCs w:val="24"/>
              </w:rPr>
              <w:t>向社会福利与公益慈善组织的捐款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0" w:hRule="atLeast"/>
        </w:trPr>
        <w:tc>
          <w:tcPr>
            <w:tcW w:w="2834" w:type="dxa"/>
            <w:vMerge w:val="continue"/>
            <w:noWrap w:val="0"/>
            <w:vAlign w:val="center"/>
          </w:tcPr>
          <w:p>
            <w:pPr>
              <w:rPr>
                <w:rFonts w:ascii="仿宋_GB2312" w:hAnsi="仿宋_GB2312" w:eastAsia="仿宋_GB2312"/>
                <w:b/>
                <w:bCs/>
                <w:sz w:val="24"/>
              </w:rPr>
            </w:pPr>
          </w:p>
        </w:tc>
        <w:tc>
          <w:tcPr>
            <w:tcW w:w="2674" w:type="dxa"/>
            <w:gridSpan w:val="2"/>
            <w:noWrap w:val="0"/>
            <w:vAlign w:val="center"/>
          </w:tcPr>
          <w:p>
            <w:pPr>
              <w:rPr>
                <w:rFonts w:ascii="仿宋_GB2312" w:hAnsi="仿宋_GB2312" w:eastAsia="仿宋_GB2312"/>
                <w:sz w:val="24"/>
              </w:rPr>
            </w:pPr>
            <w:r>
              <w:rPr>
                <w:rFonts w:hint="eastAsia" w:ascii="仿宋_GB2312" w:hAnsi="仿宋_GB2312" w:eastAsia="仿宋_GB2312"/>
                <w:sz w:val="24"/>
              </w:rPr>
              <w:t>通讯服务费缴纳</w:t>
            </w:r>
          </w:p>
        </w:tc>
        <w:tc>
          <w:tcPr>
            <w:tcW w:w="8854" w:type="dxa"/>
            <w:noWrap w:val="0"/>
            <w:vAlign w:val="center"/>
          </w:tcPr>
          <w:p>
            <w:pPr>
              <w:pStyle w:val="10"/>
              <w:adjustRightInd w:val="0"/>
              <w:snapToGrid w:val="0"/>
              <w:spacing w:before="156" w:beforeLines="50"/>
              <w:rPr>
                <w:rFonts w:hint="eastAsia" w:ascii="仿宋_GB2312" w:hAnsi="仿宋_GB2312" w:eastAsia="仿宋_GB2312"/>
                <w:sz w:val="24"/>
                <w:szCs w:val="24"/>
              </w:rPr>
            </w:pPr>
            <w:r>
              <w:rPr>
                <w:rFonts w:hint="eastAsia" w:ascii="仿宋_GB2312" w:hAnsi="仿宋_GB2312" w:eastAsia="仿宋_GB2312"/>
                <w:sz w:val="24"/>
                <w:szCs w:val="24"/>
                <w:lang w:eastAsia="zh-CN"/>
              </w:rPr>
              <w:t>固定电话</w:t>
            </w:r>
            <w:r>
              <w:rPr>
                <w:rFonts w:hint="eastAsia" w:ascii="仿宋_GB2312" w:hAnsi="仿宋_GB2312" w:eastAsia="仿宋_GB2312"/>
                <w:sz w:val="24"/>
                <w:szCs w:val="24"/>
              </w:rPr>
              <w:t>、手机、网络、电视等费</w:t>
            </w:r>
            <w:r>
              <w:rPr>
                <w:rFonts w:hint="eastAsia" w:ascii="仿宋_GB2312" w:hAnsi="仿宋_GB2312" w:eastAsia="仿宋_GB2312"/>
                <w:sz w:val="24"/>
                <w:szCs w:val="24"/>
                <w:lang w:eastAsia="zh-CN"/>
              </w:rPr>
              <w:t>用缴纳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98" w:hRule="atLeast"/>
        </w:trPr>
        <w:tc>
          <w:tcPr>
            <w:tcW w:w="2834" w:type="dxa"/>
            <w:vMerge w:val="continue"/>
            <w:noWrap w:val="0"/>
            <w:vAlign w:val="center"/>
          </w:tcPr>
          <w:p>
            <w:pPr>
              <w:rPr>
                <w:rFonts w:ascii="仿宋_GB2312" w:hAnsi="仿宋_GB2312" w:eastAsia="仿宋_GB2312"/>
                <w:b/>
                <w:bCs/>
                <w:sz w:val="24"/>
              </w:rPr>
            </w:pPr>
          </w:p>
        </w:tc>
        <w:tc>
          <w:tcPr>
            <w:tcW w:w="2674" w:type="dxa"/>
            <w:gridSpan w:val="2"/>
            <w:noWrap w:val="0"/>
            <w:vAlign w:val="center"/>
          </w:tcPr>
          <w:p>
            <w:pPr>
              <w:rPr>
                <w:rFonts w:ascii="仿宋_GB2312" w:hAnsi="仿宋_GB2312" w:eastAsia="仿宋_GB2312"/>
                <w:sz w:val="24"/>
              </w:rPr>
            </w:pPr>
            <w:r>
              <w:rPr>
                <w:rFonts w:hint="eastAsia" w:ascii="仿宋_GB2312" w:hAnsi="仿宋_GB2312" w:eastAsia="仿宋_GB2312"/>
                <w:sz w:val="24"/>
              </w:rPr>
              <w:t>还款</w:t>
            </w:r>
          </w:p>
        </w:tc>
        <w:tc>
          <w:tcPr>
            <w:tcW w:w="8854" w:type="dxa"/>
            <w:noWrap w:val="0"/>
            <w:vAlign w:val="center"/>
          </w:tcPr>
          <w:p>
            <w:pPr>
              <w:pStyle w:val="10"/>
              <w:adjustRightInd w:val="0"/>
              <w:snapToGrid w:val="0"/>
              <w:spacing w:before="156" w:beforeLines="50"/>
              <w:rPr>
                <w:rFonts w:hint="eastAsia" w:ascii="仿宋_GB2312" w:hAnsi="仿宋_GB2312" w:eastAsia="仿宋_GB2312"/>
                <w:sz w:val="24"/>
                <w:szCs w:val="24"/>
              </w:rPr>
            </w:pPr>
            <w:r>
              <w:rPr>
                <w:rFonts w:hint="eastAsia" w:ascii="仿宋_GB2312" w:hAnsi="仿宋_GB2312" w:eastAsia="仿宋_GB2312"/>
                <w:sz w:val="24"/>
                <w:szCs w:val="24"/>
              </w:rPr>
              <w:t>信用卡还款、银行及国务院银行业监督管理机构批准设立的有发放贷款资质许可的其他机构的贷款偿还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0" w:hRule="atLeast"/>
        </w:trPr>
        <w:tc>
          <w:tcPr>
            <w:tcW w:w="2834" w:type="dxa"/>
            <w:vMerge w:val="continue"/>
            <w:noWrap w:val="0"/>
            <w:vAlign w:val="center"/>
          </w:tcPr>
          <w:p>
            <w:pPr>
              <w:rPr>
                <w:rFonts w:ascii="仿宋_GB2312" w:hAnsi="仿宋_GB2312" w:eastAsia="仿宋_GB2312"/>
                <w:b/>
                <w:bCs/>
                <w:sz w:val="24"/>
              </w:rPr>
            </w:pPr>
          </w:p>
        </w:tc>
        <w:tc>
          <w:tcPr>
            <w:tcW w:w="2674" w:type="dxa"/>
            <w:gridSpan w:val="2"/>
            <w:noWrap w:val="0"/>
            <w:vAlign w:val="center"/>
          </w:tcPr>
          <w:p>
            <w:pPr>
              <w:rPr>
                <w:rFonts w:ascii="仿宋_GB2312" w:hAnsi="仿宋_GB2312" w:eastAsia="仿宋_GB2312"/>
                <w:sz w:val="24"/>
              </w:rPr>
            </w:pPr>
            <w:r>
              <w:rPr>
                <w:rFonts w:hint="eastAsia" w:ascii="仿宋_GB2312" w:hAnsi="仿宋_GB2312" w:eastAsia="仿宋_GB2312"/>
                <w:sz w:val="24"/>
              </w:rPr>
              <w:t>保险费用缴纳</w:t>
            </w:r>
          </w:p>
        </w:tc>
        <w:tc>
          <w:tcPr>
            <w:tcW w:w="8854" w:type="dxa"/>
            <w:noWrap w:val="0"/>
            <w:vAlign w:val="center"/>
          </w:tcPr>
          <w:p>
            <w:pPr>
              <w:pStyle w:val="10"/>
              <w:adjustRightInd w:val="0"/>
              <w:snapToGrid w:val="0"/>
              <w:spacing w:before="156" w:beforeLines="50"/>
              <w:rPr>
                <w:rFonts w:hint="eastAsia" w:ascii="仿宋_GB2312" w:hAnsi="仿宋_GB2312" w:eastAsia="仿宋_GB2312"/>
                <w:sz w:val="24"/>
                <w:szCs w:val="24"/>
              </w:rPr>
            </w:pPr>
            <w:r>
              <w:rPr>
                <w:rFonts w:hint="eastAsia" w:ascii="仿宋_GB2312" w:hAnsi="仿宋_GB2312" w:eastAsia="仿宋_GB2312"/>
                <w:sz w:val="24"/>
                <w:szCs w:val="24"/>
              </w:rPr>
              <w:t>保</w:t>
            </w:r>
            <w:r>
              <w:rPr>
                <w:rFonts w:hint="eastAsia" w:ascii="仿宋_GB2312" w:hAnsi="仿宋_GB2312" w:eastAsia="仿宋_GB2312"/>
                <w:sz w:val="24"/>
                <w:szCs w:val="24"/>
                <w:lang w:eastAsia="zh-CN"/>
              </w:rPr>
              <w:t>险</w:t>
            </w:r>
            <w:r>
              <w:rPr>
                <w:rFonts w:hint="eastAsia" w:ascii="仿宋_GB2312" w:hAnsi="仿宋_GB2312" w:eastAsia="仿宋_GB2312"/>
                <w:sz w:val="24"/>
                <w:szCs w:val="24"/>
              </w:rPr>
              <w:t>费</w:t>
            </w:r>
            <w:r>
              <w:rPr>
                <w:rFonts w:hint="eastAsia" w:ascii="仿宋_GB2312" w:hAnsi="仿宋_GB2312" w:eastAsia="仿宋_GB2312"/>
                <w:sz w:val="24"/>
                <w:szCs w:val="24"/>
                <w:lang w:eastAsia="zh-CN"/>
              </w:rPr>
              <w:t>用</w:t>
            </w:r>
            <w:r>
              <w:rPr>
                <w:rFonts w:hint="eastAsia" w:ascii="仿宋_GB2312" w:hAnsi="仿宋_GB2312" w:eastAsia="仿宋_GB2312"/>
                <w:sz w:val="24"/>
                <w:szCs w:val="24"/>
              </w:rPr>
              <w:t>缴纳（不含投资型保险）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20" w:hRule="atLeast"/>
        </w:trPr>
        <w:tc>
          <w:tcPr>
            <w:tcW w:w="2834" w:type="dxa"/>
            <w:vMerge w:val="continue"/>
            <w:noWrap w:val="0"/>
            <w:vAlign w:val="center"/>
          </w:tcPr>
          <w:p>
            <w:pPr>
              <w:rPr>
                <w:rFonts w:ascii="仿宋_GB2312" w:hAnsi="仿宋_GB2312" w:eastAsia="仿宋_GB2312"/>
                <w:b/>
                <w:bCs/>
                <w:sz w:val="24"/>
              </w:rPr>
            </w:pPr>
          </w:p>
        </w:tc>
        <w:tc>
          <w:tcPr>
            <w:tcW w:w="2674" w:type="dxa"/>
            <w:gridSpan w:val="2"/>
            <w:noWrap w:val="0"/>
            <w:vAlign w:val="center"/>
          </w:tcPr>
          <w:p>
            <w:pPr>
              <w:rPr>
                <w:rFonts w:hint="eastAsia" w:ascii="仿宋_GB2312" w:hAnsi="仿宋_GB2312" w:eastAsia="仿宋_GB2312"/>
                <w:sz w:val="24"/>
              </w:rPr>
            </w:pPr>
            <w:r>
              <w:rPr>
                <w:rFonts w:hint="eastAsia" w:ascii="仿宋_GB2312" w:hAnsi="仿宋_GB2312" w:eastAsia="仿宋_GB2312"/>
                <w:sz w:val="24"/>
              </w:rPr>
              <w:t>银行账户充值</w:t>
            </w:r>
          </w:p>
        </w:tc>
        <w:tc>
          <w:tcPr>
            <w:tcW w:w="8854" w:type="dxa"/>
            <w:noWrap w:val="0"/>
            <w:vAlign w:val="center"/>
          </w:tcPr>
          <w:p>
            <w:pPr>
              <w:pStyle w:val="10"/>
              <w:adjustRightInd w:val="0"/>
              <w:snapToGrid w:val="0"/>
              <w:spacing w:before="156" w:beforeLines="50"/>
              <w:rPr>
                <w:rFonts w:hint="eastAsia" w:ascii="仿宋_GB2312" w:hAnsi="仿宋_GB2312" w:eastAsia="仿宋_GB2312"/>
                <w:sz w:val="24"/>
                <w:szCs w:val="24"/>
              </w:rPr>
            </w:pPr>
            <w:r>
              <w:rPr>
                <w:rFonts w:hint="eastAsia" w:ascii="仿宋_GB2312" w:hAnsi="仿宋_GB2312" w:eastAsia="仿宋_GB2312"/>
                <w:sz w:val="24"/>
                <w:szCs w:val="24"/>
              </w:rPr>
              <w:t>限定为定期或者在Ⅱ</w:t>
            </w:r>
            <w:r>
              <w:rPr>
                <w:rFonts w:hint="eastAsia" w:ascii="仿宋_GB2312" w:hAnsi="仿宋_GB2312" w:eastAsia="仿宋_GB2312"/>
                <w:sz w:val="24"/>
                <w:szCs w:val="24"/>
                <w:lang w:eastAsia="zh-CN"/>
              </w:rPr>
              <w:t>类或</w:t>
            </w:r>
            <w:r>
              <w:rPr>
                <w:rFonts w:hint="eastAsia" w:ascii="仿宋_GB2312" w:hAnsi="仿宋_GB2312" w:eastAsia="仿宋_GB2312"/>
                <w:sz w:val="24"/>
                <w:szCs w:val="24"/>
              </w:rPr>
              <w:t>Ⅲ类银行账户余额低于约定额度时，通过本人Ⅰ类银行账户向本人同名Ⅱ</w:t>
            </w:r>
            <w:r>
              <w:rPr>
                <w:rFonts w:hint="eastAsia" w:ascii="仿宋_GB2312" w:hAnsi="仿宋_GB2312" w:eastAsia="仿宋_GB2312"/>
                <w:sz w:val="24"/>
                <w:szCs w:val="24"/>
                <w:lang w:eastAsia="zh-CN"/>
              </w:rPr>
              <w:t>类或</w:t>
            </w:r>
            <w:r>
              <w:rPr>
                <w:rFonts w:hint="eastAsia" w:ascii="仿宋_GB2312" w:hAnsi="仿宋_GB2312" w:eastAsia="仿宋_GB2312"/>
                <w:sz w:val="24"/>
                <w:szCs w:val="24"/>
              </w:rPr>
              <w:t>Ⅲ类银行账户进行充值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0" w:hRule="atLeast"/>
        </w:trPr>
        <w:tc>
          <w:tcPr>
            <w:tcW w:w="2834" w:type="dxa"/>
            <w:vMerge w:val="continue"/>
            <w:noWrap w:val="0"/>
            <w:vAlign w:val="center"/>
          </w:tcPr>
          <w:p>
            <w:pPr>
              <w:rPr>
                <w:rFonts w:ascii="仿宋_GB2312" w:hAnsi="仿宋_GB2312" w:eastAsia="仿宋_GB2312"/>
                <w:b/>
                <w:bCs/>
                <w:sz w:val="24"/>
              </w:rPr>
            </w:pPr>
          </w:p>
        </w:tc>
        <w:tc>
          <w:tcPr>
            <w:tcW w:w="2674" w:type="dxa"/>
            <w:gridSpan w:val="2"/>
            <w:noWrap w:val="0"/>
            <w:vAlign w:val="center"/>
          </w:tcPr>
          <w:p>
            <w:pPr>
              <w:rPr>
                <w:rFonts w:ascii="仿宋_GB2312" w:hAnsi="仿宋_GB2312" w:eastAsia="仿宋_GB2312"/>
                <w:sz w:val="24"/>
              </w:rPr>
            </w:pPr>
            <w:r>
              <w:rPr>
                <w:rFonts w:hint="eastAsia" w:ascii="仿宋_GB2312" w:hAnsi="仿宋_GB2312" w:eastAsia="仿宋_GB2312"/>
                <w:sz w:val="24"/>
              </w:rPr>
              <w:t>资金归集</w:t>
            </w:r>
          </w:p>
        </w:tc>
        <w:tc>
          <w:tcPr>
            <w:tcW w:w="8854" w:type="dxa"/>
            <w:noWrap w:val="0"/>
            <w:vAlign w:val="center"/>
          </w:tcPr>
          <w:p>
            <w:pPr>
              <w:pStyle w:val="10"/>
              <w:adjustRightInd w:val="0"/>
              <w:snapToGrid w:val="0"/>
              <w:spacing w:before="156" w:beforeLines="50"/>
              <w:rPr>
                <w:rFonts w:hint="eastAsia" w:ascii="仿宋_GB2312" w:hAnsi="仿宋_GB2312" w:eastAsia="仿宋_GB2312"/>
                <w:sz w:val="24"/>
                <w:szCs w:val="24"/>
              </w:rPr>
            </w:pPr>
            <w:r>
              <w:rPr>
                <w:rFonts w:hint="eastAsia" w:ascii="仿宋_GB2312" w:hAnsi="仿宋_GB2312" w:eastAsia="仿宋_GB2312"/>
                <w:sz w:val="24"/>
                <w:szCs w:val="24"/>
              </w:rPr>
              <w:t>同一法人控股集团内收款、同一品牌特许经营类收款、具有合法资金收付协议关系的企业上下游资金归集等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0" w:hRule="atLeast"/>
        </w:trPr>
        <w:tc>
          <w:tcPr>
            <w:tcW w:w="2834" w:type="dxa"/>
            <w:vMerge w:val="continue"/>
            <w:noWrap w:val="0"/>
            <w:vAlign w:val="center"/>
          </w:tcPr>
          <w:p>
            <w:pPr>
              <w:rPr>
                <w:rFonts w:ascii="仿宋_GB2312" w:hAnsi="仿宋_GB2312" w:eastAsia="仿宋_GB2312"/>
                <w:b/>
                <w:bCs/>
                <w:sz w:val="24"/>
              </w:rPr>
            </w:pPr>
          </w:p>
        </w:tc>
        <w:tc>
          <w:tcPr>
            <w:tcW w:w="1054" w:type="dxa"/>
            <w:vMerge w:val="restart"/>
            <w:noWrap w:val="0"/>
            <w:vAlign w:val="center"/>
          </w:tcPr>
          <w:p>
            <w:pPr>
              <w:pStyle w:val="10"/>
              <w:adjustRightInd w:val="0"/>
              <w:snapToGrid w:val="0"/>
              <w:spacing w:before="156" w:beforeLines="50"/>
              <w:rPr>
                <w:rFonts w:hint="eastAsia" w:ascii="仿宋_GB2312" w:hAnsi="仿宋_GB2312" w:eastAsia="仿宋_GB2312"/>
                <w:kern w:val="2"/>
                <w:sz w:val="24"/>
                <w:szCs w:val="24"/>
              </w:rPr>
            </w:pPr>
            <w:r>
              <w:rPr>
                <w:rFonts w:hint="eastAsia" w:ascii="仿宋_GB2312" w:hAnsi="仿宋_GB2312" w:eastAsia="仿宋_GB2312"/>
                <w:kern w:val="2"/>
                <w:sz w:val="24"/>
                <w:szCs w:val="24"/>
              </w:rPr>
              <w:t>小额便民费用缴纳</w:t>
            </w:r>
          </w:p>
        </w:tc>
        <w:tc>
          <w:tcPr>
            <w:tcW w:w="1620" w:type="dxa"/>
            <w:noWrap w:val="0"/>
            <w:vAlign w:val="center"/>
          </w:tcPr>
          <w:p>
            <w:pPr>
              <w:pStyle w:val="10"/>
              <w:adjustRightInd w:val="0"/>
              <w:snapToGrid w:val="0"/>
              <w:spacing w:before="156" w:beforeLines="50"/>
              <w:rPr>
                <w:rFonts w:hint="eastAsia" w:ascii="仿宋_GB2312" w:hAnsi="仿宋_GB2312" w:eastAsia="仿宋_GB2312"/>
                <w:kern w:val="2"/>
                <w:sz w:val="24"/>
                <w:szCs w:val="24"/>
              </w:rPr>
            </w:pPr>
            <w:r>
              <w:rPr>
                <w:rFonts w:hint="eastAsia" w:ascii="仿宋_GB2312" w:hAnsi="仿宋_GB2312" w:eastAsia="仿宋_GB2312"/>
                <w:kern w:val="2"/>
                <w:sz w:val="24"/>
                <w:szCs w:val="24"/>
              </w:rPr>
              <w:t>跨机构业务</w:t>
            </w:r>
          </w:p>
        </w:tc>
        <w:tc>
          <w:tcPr>
            <w:tcW w:w="8854" w:type="dxa"/>
            <w:noWrap w:val="0"/>
            <w:vAlign w:val="center"/>
          </w:tcPr>
          <w:p>
            <w:pPr>
              <w:pStyle w:val="10"/>
              <w:adjustRightInd w:val="0"/>
              <w:snapToGrid w:val="0"/>
              <w:spacing w:before="156" w:beforeLines="50"/>
              <w:rPr>
                <w:rFonts w:hint="eastAsia" w:ascii="仿宋_GB2312" w:hAnsi="仿宋_GB2312" w:eastAsia="仿宋_GB2312"/>
                <w:sz w:val="24"/>
                <w:szCs w:val="24"/>
              </w:rPr>
            </w:pPr>
            <w:r>
              <w:rPr>
                <w:rFonts w:hint="eastAsia" w:ascii="仿宋_GB2312" w:hAnsi="仿宋_GB2312" w:eastAsia="仿宋_GB2312"/>
                <w:sz w:val="24"/>
                <w:szCs w:val="24"/>
              </w:rPr>
              <w:t>缴纳租金、会员费用等，具体由清算机构制定并</w:t>
            </w:r>
            <w:r>
              <w:rPr>
                <w:rFonts w:hint="eastAsia" w:ascii="仿宋_GB2312" w:hAnsi="仿宋_GB2312" w:eastAsia="仿宋_GB2312"/>
                <w:sz w:val="24"/>
                <w:szCs w:val="24"/>
                <w:lang w:eastAsia="zh-CN"/>
              </w:rPr>
              <w:t>向</w:t>
            </w:r>
            <w:r>
              <w:rPr>
                <w:rFonts w:hint="eastAsia" w:ascii="仿宋_GB2312" w:hAnsi="仿宋_GB2312" w:eastAsia="仿宋_GB2312"/>
                <w:sz w:val="24"/>
                <w:szCs w:val="24"/>
              </w:rPr>
              <w:t>人民银行</w:t>
            </w:r>
            <w:r>
              <w:rPr>
                <w:rFonts w:hint="eastAsia" w:ascii="仿宋_GB2312" w:hAnsi="仿宋_GB2312" w:eastAsia="仿宋_GB2312"/>
                <w:sz w:val="24"/>
                <w:szCs w:val="24"/>
                <w:lang w:eastAsia="zh-CN"/>
              </w:rPr>
              <w:t>报备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0" w:hRule="atLeast"/>
        </w:trPr>
        <w:tc>
          <w:tcPr>
            <w:tcW w:w="2834" w:type="dxa"/>
            <w:vMerge w:val="continue"/>
            <w:noWrap w:val="0"/>
            <w:vAlign w:val="center"/>
          </w:tcPr>
          <w:p>
            <w:pPr>
              <w:rPr>
                <w:rFonts w:ascii="仿宋_GB2312" w:hAnsi="仿宋_GB2312" w:eastAsia="仿宋_GB2312"/>
                <w:b/>
                <w:bCs/>
                <w:sz w:val="24"/>
              </w:rPr>
            </w:pPr>
          </w:p>
        </w:tc>
        <w:tc>
          <w:tcPr>
            <w:tcW w:w="1054" w:type="dxa"/>
            <w:vMerge w:val="continue"/>
            <w:noWrap w:val="0"/>
            <w:vAlign w:val="center"/>
          </w:tcPr>
          <w:p>
            <w:pPr>
              <w:pStyle w:val="10"/>
              <w:adjustRightInd w:val="0"/>
              <w:snapToGrid w:val="0"/>
              <w:spacing w:before="156" w:beforeLines="50"/>
              <w:rPr>
                <w:rFonts w:hint="eastAsia" w:ascii="仿宋_GB2312" w:hAnsi="仿宋_GB2312" w:eastAsia="仿宋_GB2312"/>
                <w:kern w:val="2"/>
                <w:sz w:val="24"/>
                <w:szCs w:val="24"/>
              </w:rPr>
            </w:pPr>
          </w:p>
        </w:tc>
        <w:tc>
          <w:tcPr>
            <w:tcW w:w="1620" w:type="dxa"/>
            <w:noWrap w:val="0"/>
            <w:vAlign w:val="center"/>
          </w:tcPr>
          <w:p>
            <w:pPr>
              <w:pStyle w:val="10"/>
              <w:adjustRightInd w:val="0"/>
              <w:snapToGrid w:val="0"/>
              <w:spacing w:before="156" w:beforeLines="50"/>
              <w:rPr>
                <w:rFonts w:hint="eastAsia" w:ascii="仿宋_GB2312" w:hAnsi="仿宋_GB2312" w:eastAsia="仿宋_GB2312"/>
                <w:sz w:val="24"/>
                <w:szCs w:val="24"/>
              </w:rPr>
            </w:pPr>
            <w:r>
              <w:rPr>
                <w:rFonts w:hint="eastAsia" w:ascii="仿宋_GB2312" w:hAnsi="仿宋_GB2312" w:eastAsia="仿宋_GB2312"/>
                <w:sz w:val="24"/>
                <w:szCs w:val="24"/>
              </w:rPr>
              <w:t>本机构业务</w:t>
            </w:r>
          </w:p>
        </w:tc>
        <w:tc>
          <w:tcPr>
            <w:tcW w:w="8854" w:type="dxa"/>
            <w:noWrap w:val="0"/>
            <w:vAlign w:val="center"/>
          </w:tcPr>
          <w:p>
            <w:pPr>
              <w:pStyle w:val="10"/>
              <w:adjustRightInd w:val="0"/>
              <w:snapToGrid w:val="0"/>
              <w:spacing w:before="156" w:beforeLines="50"/>
              <w:rPr>
                <w:rFonts w:hint="eastAsia" w:ascii="仿宋_GB2312" w:hAnsi="仿宋_GB2312" w:eastAsia="仿宋_GB2312"/>
                <w:sz w:val="24"/>
                <w:szCs w:val="24"/>
              </w:rPr>
            </w:pPr>
            <w:r>
              <w:rPr>
                <w:rFonts w:hint="eastAsia" w:ascii="仿宋_GB2312" w:hAnsi="仿宋_GB2312" w:eastAsia="仿宋_GB2312"/>
                <w:sz w:val="24"/>
                <w:szCs w:val="24"/>
              </w:rPr>
              <w:t>缴纳租金、会员费用等，具体由付款人开户机构制定并</w:t>
            </w:r>
            <w:r>
              <w:rPr>
                <w:rFonts w:hint="eastAsia" w:ascii="仿宋_GB2312" w:hAnsi="仿宋_GB2312" w:eastAsia="仿宋_GB2312"/>
                <w:sz w:val="24"/>
                <w:szCs w:val="24"/>
                <w:lang w:eastAsia="zh-CN"/>
              </w:rPr>
              <w:t>向</w:t>
            </w:r>
            <w:r>
              <w:rPr>
                <w:rFonts w:hint="eastAsia" w:ascii="仿宋_GB2312" w:hAnsi="仿宋_GB2312" w:eastAsia="仿宋_GB2312"/>
                <w:sz w:val="24"/>
                <w:szCs w:val="24"/>
              </w:rPr>
              <w:t>人民银行</w:t>
            </w:r>
            <w:r>
              <w:rPr>
                <w:rFonts w:hint="eastAsia" w:ascii="仿宋_GB2312" w:hAnsi="仿宋_GB2312" w:eastAsia="仿宋_GB2312"/>
                <w:sz w:val="24"/>
                <w:szCs w:val="24"/>
                <w:lang w:eastAsia="zh-CN"/>
              </w:rPr>
              <w:t>报备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0" w:hRule="atLeast"/>
        </w:trPr>
        <w:tc>
          <w:tcPr>
            <w:tcW w:w="2834" w:type="dxa"/>
            <w:vMerge w:val="restart"/>
            <w:noWrap w:val="0"/>
            <w:vAlign w:val="center"/>
          </w:tcPr>
          <w:p>
            <w:pPr>
              <w:rPr>
                <w:rFonts w:ascii="仿宋_GB2312" w:hAnsi="仿宋_GB2312" w:eastAsia="仿宋_GB2312"/>
                <w:b/>
                <w:bCs/>
                <w:sz w:val="24"/>
              </w:rPr>
            </w:pPr>
            <w:r>
              <w:rPr>
                <w:rFonts w:hint="eastAsia" w:ascii="仿宋_GB2312" w:hAnsi="仿宋_GB2312" w:eastAsia="仿宋_GB2312"/>
                <w:b/>
                <w:bCs/>
                <w:sz w:val="24"/>
              </w:rPr>
              <w:t>需符合代收业务适用场景第二</w:t>
            </w:r>
            <w:r>
              <w:rPr>
                <w:rFonts w:hint="eastAsia" w:ascii="仿宋_GB2312" w:hAnsi="仿宋_GB2312" w:eastAsia="仿宋_GB2312"/>
                <w:b/>
                <w:bCs/>
                <w:sz w:val="24"/>
                <w:lang w:eastAsia="zh-CN"/>
              </w:rPr>
              <w:t>项</w:t>
            </w:r>
            <w:r>
              <w:rPr>
                <w:rFonts w:hint="eastAsia" w:ascii="仿宋_GB2312" w:hAnsi="仿宋_GB2312" w:eastAsia="仿宋_GB2312"/>
                <w:b/>
                <w:bCs/>
                <w:sz w:val="24"/>
              </w:rPr>
              <w:t>规定的授权要求</w:t>
            </w:r>
          </w:p>
        </w:tc>
        <w:tc>
          <w:tcPr>
            <w:tcW w:w="2674" w:type="dxa"/>
            <w:gridSpan w:val="2"/>
            <w:noWrap w:val="0"/>
            <w:vAlign w:val="center"/>
          </w:tcPr>
          <w:p>
            <w:pPr>
              <w:pStyle w:val="10"/>
              <w:adjustRightInd w:val="0"/>
              <w:snapToGrid w:val="0"/>
              <w:spacing w:before="156" w:beforeLines="50"/>
              <w:rPr>
                <w:rFonts w:hint="eastAsia" w:ascii="仿宋_GB2312" w:hAnsi="仿宋_GB2312" w:eastAsia="仿宋_GB2312"/>
                <w:sz w:val="24"/>
              </w:rPr>
            </w:pPr>
            <w:r>
              <w:rPr>
                <w:rFonts w:hint="eastAsia" w:ascii="仿宋_GB2312" w:hAnsi="仿宋_GB2312" w:eastAsia="仿宋_GB2312"/>
                <w:kern w:val="2"/>
                <w:sz w:val="24"/>
                <w:szCs w:val="24"/>
              </w:rPr>
              <w:t>教育培训费用缴纳</w:t>
            </w:r>
          </w:p>
        </w:tc>
        <w:tc>
          <w:tcPr>
            <w:tcW w:w="8854" w:type="dxa"/>
            <w:noWrap w:val="0"/>
            <w:vAlign w:val="center"/>
          </w:tcPr>
          <w:p>
            <w:pPr>
              <w:pStyle w:val="10"/>
              <w:adjustRightInd w:val="0"/>
              <w:snapToGrid w:val="0"/>
              <w:spacing w:before="156" w:beforeLines="50"/>
              <w:rPr>
                <w:rFonts w:hint="eastAsia" w:ascii="仿宋_GB2312" w:hAnsi="仿宋_GB2312" w:eastAsia="仿宋_GB2312"/>
                <w:sz w:val="24"/>
              </w:rPr>
            </w:pPr>
            <w:r>
              <w:rPr>
                <w:rFonts w:hint="eastAsia" w:ascii="仿宋_GB2312" w:hAnsi="仿宋_GB2312" w:eastAsia="仿宋_GB2312"/>
                <w:sz w:val="24"/>
                <w:szCs w:val="24"/>
              </w:rPr>
              <w:t>限定为</w:t>
            </w:r>
            <w:r>
              <w:rPr>
                <w:rFonts w:hint="eastAsia" w:ascii="仿宋_GB2312" w:hAnsi="仿宋_GB2312" w:eastAsia="仿宋_GB2312"/>
                <w:sz w:val="24"/>
              </w:rPr>
              <w:t>经教育主管部门、人</w:t>
            </w:r>
            <w:r>
              <w:rPr>
                <w:rFonts w:hint="eastAsia" w:ascii="仿宋_GB2312" w:hAnsi="仿宋_GB2312" w:eastAsia="仿宋_GB2312"/>
                <w:sz w:val="24"/>
                <w:lang w:eastAsia="zh-CN"/>
              </w:rPr>
              <w:t>力资源</w:t>
            </w:r>
            <w:r>
              <w:rPr>
                <w:rFonts w:hint="eastAsia" w:ascii="仿宋_GB2312" w:hAnsi="仿宋_GB2312" w:eastAsia="仿宋_GB2312"/>
                <w:sz w:val="24"/>
              </w:rPr>
              <w:t>社</w:t>
            </w:r>
            <w:r>
              <w:rPr>
                <w:rFonts w:hint="eastAsia" w:ascii="仿宋_GB2312" w:hAnsi="仿宋_GB2312" w:eastAsia="仿宋_GB2312"/>
                <w:sz w:val="24"/>
                <w:lang w:eastAsia="zh-CN"/>
              </w:rPr>
              <w:t>会保障</w:t>
            </w:r>
            <w:r>
              <w:rPr>
                <w:rFonts w:hint="eastAsia" w:ascii="仿宋_GB2312" w:hAnsi="仿宋_GB2312" w:eastAsia="仿宋_GB2312"/>
                <w:sz w:val="24"/>
              </w:rPr>
              <w:t>部门等有权部门批准成立的教育及培训类机构</w:t>
            </w:r>
            <w:r>
              <w:rPr>
                <w:rFonts w:hint="eastAsia" w:ascii="仿宋_GB2312" w:hAnsi="仿宋_GB2312" w:eastAsia="仿宋_GB2312"/>
                <w:sz w:val="24"/>
                <w:szCs w:val="24"/>
              </w:rPr>
              <w:t>费用缴纳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0" w:hRule="atLeast"/>
        </w:trPr>
        <w:tc>
          <w:tcPr>
            <w:tcW w:w="2834" w:type="dxa"/>
            <w:vMerge w:val="continue"/>
            <w:noWrap w:val="0"/>
            <w:vAlign w:val="top"/>
          </w:tcPr>
          <w:p>
            <w:pPr>
              <w:rPr>
                <w:rFonts w:hint="eastAsia" w:ascii="仿宋_GB2312" w:hAnsi="仿宋_GB2312" w:eastAsia="仿宋_GB2312"/>
                <w:sz w:val="24"/>
              </w:rPr>
            </w:pPr>
          </w:p>
        </w:tc>
        <w:tc>
          <w:tcPr>
            <w:tcW w:w="2674" w:type="dxa"/>
            <w:gridSpan w:val="2"/>
            <w:noWrap w:val="0"/>
            <w:vAlign w:val="center"/>
          </w:tcPr>
          <w:p>
            <w:pPr>
              <w:pStyle w:val="10"/>
              <w:adjustRightInd w:val="0"/>
              <w:snapToGrid w:val="0"/>
              <w:spacing w:before="156" w:beforeLines="50"/>
              <w:rPr>
                <w:rFonts w:hint="eastAsia" w:ascii="仿宋_GB2312" w:hAnsi="仿宋_GB2312" w:eastAsia="仿宋_GB2312"/>
                <w:kern w:val="2"/>
                <w:sz w:val="24"/>
                <w:szCs w:val="24"/>
              </w:rPr>
            </w:pPr>
            <w:r>
              <w:rPr>
                <w:rFonts w:hint="eastAsia" w:ascii="仿宋_GB2312" w:hAnsi="仿宋_GB2312" w:eastAsia="仿宋_GB2312"/>
                <w:kern w:val="2"/>
                <w:sz w:val="24"/>
                <w:szCs w:val="24"/>
              </w:rPr>
              <w:t>还款</w:t>
            </w:r>
          </w:p>
        </w:tc>
        <w:tc>
          <w:tcPr>
            <w:tcW w:w="8854" w:type="dxa"/>
            <w:noWrap w:val="0"/>
            <w:vAlign w:val="center"/>
          </w:tcPr>
          <w:p>
            <w:pPr>
              <w:pStyle w:val="10"/>
              <w:adjustRightInd w:val="0"/>
              <w:snapToGrid w:val="0"/>
              <w:spacing w:before="156" w:beforeLines="50"/>
              <w:rPr>
                <w:rFonts w:hint="eastAsia" w:ascii="仿宋_GB2312" w:hAnsi="仿宋_GB2312" w:eastAsia="仿宋_GB2312"/>
                <w:sz w:val="24"/>
              </w:rPr>
            </w:pPr>
            <w:r>
              <w:rPr>
                <w:rFonts w:hint="eastAsia" w:ascii="仿宋_GB2312" w:hAnsi="仿宋_GB2312" w:eastAsia="仿宋_GB2312"/>
                <w:kern w:val="2"/>
                <w:sz w:val="24"/>
                <w:szCs w:val="24"/>
              </w:rPr>
              <w:t>小额贷款公司贷款偿还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0" w:hRule="atLeast"/>
        </w:trPr>
        <w:tc>
          <w:tcPr>
            <w:tcW w:w="2834" w:type="dxa"/>
            <w:vMerge w:val="continue"/>
            <w:noWrap w:val="0"/>
            <w:vAlign w:val="top"/>
          </w:tcPr>
          <w:p>
            <w:pPr>
              <w:rPr>
                <w:rFonts w:hint="eastAsia" w:ascii="仿宋_GB2312" w:hAnsi="仿宋_GB2312" w:eastAsia="仿宋_GB2312"/>
                <w:sz w:val="24"/>
              </w:rPr>
            </w:pPr>
          </w:p>
        </w:tc>
        <w:tc>
          <w:tcPr>
            <w:tcW w:w="2674" w:type="dxa"/>
            <w:gridSpan w:val="2"/>
            <w:noWrap w:val="0"/>
            <w:vAlign w:val="center"/>
          </w:tcPr>
          <w:p>
            <w:pPr>
              <w:pStyle w:val="10"/>
              <w:adjustRightInd w:val="0"/>
              <w:snapToGrid w:val="0"/>
              <w:spacing w:before="156" w:beforeLines="50"/>
              <w:rPr>
                <w:rFonts w:hint="eastAsia" w:ascii="仿宋_GB2312" w:hAnsi="仿宋_GB2312" w:eastAsia="仿宋_GB2312"/>
                <w:kern w:val="2"/>
                <w:sz w:val="24"/>
                <w:szCs w:val="24"/>
              </w:rPr>
            </w:pPr>
            <w:r>
              <w:rPr>
                <w:rFonts w:hint="eastAsia" w:ascii="仿宋_GB2312" w:hAnsi="仿宋_GB2312" w:eastAsia="仿宋_GB2312"/>
                <w:kern w:val="2"/>
                <w:sz w:val="24"/>
                <w:szCs w:val="24"/>
              </w:rPr>
              <w:t>基金理财产品购买</w:t>
            </w:r>
          </w:p>
        </w:tc>
        <w:tc>
          <w:tcPr>
            <w:tcW w:w="8854" w:type="dxa"/>
            <w:noWrap w:val="0"/>
            <w:vAlign w:val="center"/>
          </w:tcPr>
          <w:p>
            <w:pPr>
              <w:pStyle w:val="10"/>
              <w:adjustRightInd w:val="0"/>
              <w:snapToGrid w:val="0"/>
              <w:spacing w:before="156" w:beforeLines="50"/>
              <w:rPr>
                <w:rFonts w:hint="eastAsia" w:ascii="仿宋_GB2312" w:hAnsi="仿宋_GB2312" w:eastAsia="仿宋_GB2312"/>
                <w:sz w:val="24"/>
              </w:rPr>
            </w:pPr>
            <w:r>
              <w:rPr>
                <w:rFonts w:hint="eastAsia" w:ascii="仿宋_GB2312" w:eastAsia="仿宋_GB2312"/>
                <w:sz w:val="24"/>
                <w:szCs w:val="32"/>
              </w:rPr>
              <w:t>限定为投资者定期或者定额投资经国务院金融监督管理机构批准或者备案发行的基金或者理财产品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0" w:hRule="atLeast"/>
        </w:trPr>
        <w:tc>
          <w:tcPr>
            <w:tcW w:w="2834" w:type="dxa"/>
            <w:vMerge w:val="continue"/>
            <w:noWrap w:val="0"/>
            <w:vAlign w:val="top"/>
          </w:tcPr>
          <w:p>
            <w:pPr>
              <w:rPr>
                <w:rFonts w:hint="eastAsia" w:ascii="仿宋_GB2312" w:hAnsi="仿宋_GB2312" w:eastAsia="仿宋_GB2312"/>
                <w:sz w:val="24"/>
              </w:rPr>
            </w:pPr>
          </w:p>
        </w:tc>
        <w:tc>
          <w:tcPr>
            <w:tcW w:w="2674" w:type="dxa"/>
            <w:gridSpan w:val="2"/>
            <w:noWrap w:val="0"/>
            <w:vAlign w:val="center"/>
          </w:tcPr>
          <w:p>
            <w:pPr>
              <w:pStyle w:val="10"/>
              <w:adjustRightInd w:val="0"/>
              <w:snapToGrid w:val="0"/>
              <w:spacing w:before="156" w:beforeLines="50"/>
              <w:rPr>
                <w:rFonts w:hint="eastAsia" w:ascii="仿宋_GB2312" w:hAnsi="仿宋_GB2312" w:eastAsia="仿宋_GB2312"/>
                <w:kern w:val="2"/>
                <w:sz w:val="24"/>
                <w:szCs w:val="24"/>
              </w:rPr>
            </w:pPr>
            <w:r>
              <w:rPr>
                <w:rFonts w:hint="eastAsia" w:ascii="仿宋_GB2312" w:hAnsi="仿宋_GB2312" w:eastAsia="仿宋_GB2312"/>
                <w:kern w:val="2"/>
                <w:sz w:val="24"/>
                <w:szCs w:val="24"/>
              </w:rPr>
              <w:t>保险费用缴纳</w:t>
            </w:r>
          </w:p>
        </w:tc>
        <w:tc>
          <w:tcPr>
            <w:tcW w:w="8854" w:type="dxa"/>
            <w:noWrap w:val="0"/>
            <w:vAlign w:val="center"/>
          </w:tcPr>
          <w:p>
            <w:pPr>
              <w:pStyle w:val="10"/>
              <w:adjustRightInd w:val="0"/>
              <w:snapToGrid w:val="0"/>
              <w:spacing w:before="156" w:beforeLines="50"/>
              <w:rPr>
                <w:rFonts w:hint="eastAsia" w:ascii="仿宋_GB2312" w:hAnsi="仿宋_GB2312" w:eastAsia="仿宋_GB2312"/>
                <w:kern w:val="2"/>
                <w:sz w:val="24"/>
                <w:szCs w:val="24"/>
              </w:rPr>
            </w:pPr>
            <w:r>
              <w:rPr>
                <w:rFonts w:hint="eastAsia" w:ascii="仿宋_GB2312" w:hAnsi="仿宋_GB2312" w:eastAsia="仿宋_GB2312"/>
                <w:kern w:val="2"/>
                <w:sz w:val="24"/>
                <w:szCs w:val="24"/>
              </w:rPr>
              <w:t>保</w:t>
            </w:r>
            <w:r>
              <w:rPr>
                <w:rFonts w:hint="eastAsia" w:ascii="仿宋_GB2312" w:hAnsi="仿宋_GB2312" w:eastAsia="仿宋_GB2312"/>
                <w:kern w:val="2"/>
                <w:sz w:val="24"/>
                <w:szCs w:val="24"/>
                <w:lang w:eastAsia="zh-CN"/>
              </w:rPr>
              <w:t>险</w:t>
            </w:r>
            <w:r>
              <w:rPr>
                <w:rFonts w:hint="eastAsia" w:ascii="仿宋_GB2312" w:hAnsi="仿宋_GB2312" w:eastAsia="仿宋_GB2312"/>
                <w:kern w:val="2"/>
                <w:sz w:val="24"/>
                <w:szCs w:val="24"/>
              </w:rPr>
              <w:t>费</w:t>
            </w:r>
            <w:r>
              <w:rPr>
                <w:rFonts w:hint="eastAsia" w:ascii="仿宋_GB2312" w:hAnsi="仿宋_GB2312" w:eastAsia="仿宋_GB2312"/>
                <w:kern w:val="2"/>
                <w:sz w:val="24"/>
                <w:szCs w:val="24"/>
                <w:lang w:eastAsia="zh-CN"/>
              </w:rPr>
              <w:t>用</w:t>
            </w:r>
            <w:r>
              <w:rPr>
                <w:rFonts w:hint="eastAsia" w:ascii="仿宋_GB2312" w:hAnsi="仿宋_GB2312" w:eastAsia="仿宋_GB2312"/>
                <w:kern w:val="2"/>
                <w:sz w:val="24"/>
                <w:szCs w:val="24"/>
              </w:rPr>
              <w:t>缴纳（投资型保险）</w:t>
            </w:r>
          </w:p>
        </w:tc>
      </w:tr>
    </w:tbl>
    <w:p>
      <w:pPr>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20" w:lineRule="exact"/>
        <w:ind w:left="0" w:leftChars="0" w:right="0" w:rightChars="0" w:firstLine="640" w:firstLineChars="0"/>
        <w:jc w:val="both"/>
        <w:textAlignment w:val="baseline"/>
        <w:outlineLvl w:val="9"/>
        <w:rPr>
          <w:rFonts w:hint="default" w:ascii="仿宋_GB2312" w:hAnsi="仿宋_GB2312" w:eastAsia="仿宋_GB2312"/>
          <w:snapToGrid/>
          <w:vanish w:val="0"/>
          <w:color w:val="auto"/>
          <w:spacing w:val="4"/>
          <w:w w:val="100"/>
          <w:kern w:val="2"/>
          <w:position w:val="0"/>
          <w:sz w:val="30"/>
          <w:lang w:val="en-US" w:eastAsia="zh-CN"/>
        </w:rPr>
      </w:pPr>
    </w:p>
    <w:p>
      <w:pPr>
        <w:pStyle w:val="2"/>
        <w:rPr>
          <w:lang w:val="en-US" w:eastAsia="zh-CN"/>
        </w:rPr>
      </w:pPr>
    </w:p>
    <w:sectPr>
      <w:headerReference r:id="rId3" w:type="default"/>
      <w:footerReference r:id="rId5" w:type="default"/>
      <w:headerReference r:id="rId4" w:type="even"/>
      <w:footerReference r:id="rId6" w:type="even"/>
      <w:pgSz w:w="16838" w:h="11906" w:orient="landscape"/>
      <w:pgMar w:top="935" w:right="2097" w:bottom="1219" w:left="1701" w:header="737" w:footer="964" w:gutter="0"/>
      <w:pgNumType w:fmt="decimal" w:start="1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rPr>
        <w:rFonts w:hint="eastAsia" w:ascii="宋体" w:hAnsi="宋体" w:eastAsia="宋体"/>
        <w:sz w:val="28"/>
        <w:lang w:eastAsia="zh-CN"/>
      </w:rPr>
      <w:t>—</w:t>
    </w:r>
    <w:r>
      <w:rPr>
        <w:rFonts w:hint="eastAsia" w:ascii="宋体" w:hAnsi="宋体" w:eastAsia="宋体"/>
        <w:sz w:val="28"/>
        <w:lang w:val="en-US" w:eastAsia="zh-CN"/>
      </w:rPr>
      <w:t xml:space="preserve"> </w:t>
    </w:r>
    <w:r>
      <w:rPr>
        <w:rFonts w:hint="eastAsia" w:ascii="宋体" w:hAnsi="宋体" w:eastAsia="宋体"/>
        <w:sz w:val="28"/>
      </w:rPr>
      <w:fldChar w:fldCharType="begin"/>
    </w:r>
    <w:r>
      <w:rPr>
        <w:rStyle w:val="9"/>
        <w:rFonts w:hint="eastAsia" w:ascii="宋体" w:hAnsi="宋体" w:eastAsia="宋体"/>
        <w:sz w:val="28"/>
      </w:rPr>
      <w:instrText xml:space="preserve">PAGE  </w:instrText>
    </w:r>
    <w:r>
      <w:rPr>
        <w:rFonts w:hint="eastAsia" w:ascii="宋体" w:hAnsi="宋体" w:eastAsia="宋体"/>
        <w:sz w:val="28"/>
      </w:rPr>
      <w:fldChar w:fldCharType="separate"/>
    </w:r>
    <w:r>
      <w:rPr>
        <w:rStyle w:val="9"/>
        <w:rFonts w:hint="eastAsia" w:ascii="宋体" w:hAnsi="宋体" w:eastAsia="宋体"/>
        <w:sz w:val="28"/>
      </w:rPr>
      <w:t>2</w:t>
    </w:r>
    <w:r>
      <w:rPr>
        <w:rFonts w:hint="eastAsia" w:ascii="宋体" w:hAnsi="宋体" w:eastAsia="宋体"/>
        <w:sz w:val="28"/>
      </w:rPr>
      <w:fldChar w:fldCharType="end"/>
    </w:r>
    <w:r>
      <w:rPr>
        <w:rFonts w:hint="eastAsia" w:ascii="宋体" w:hAnsi="宋体" w:eastAsia="宋体"/>
        <w:sz w:val="28"/>
        <w:lang w:val="en-US" w:eastAsia="zh-CN"/>
      </w:rPr>
      <w:t xml:space="preserve"> —</w:t>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8403A0"/>
    <w:rsid w:val="088403A0"/>
    <w:rsid w:val="250B1EA0"/>
    <w:rsid w:val="3D4E7365"/>
    <w:rsid w:val="478E55DA"/>
    <w:rsid w:val="6C06439C"/>
    <w:rsid w:val="749049A8"/>
    <w:rsid w:val="7A3606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heme="minorBidi"/>
      <w:kern w:val="2"/>
      <w:sz w:val="21"/>
      <w:szCs w:val="24"/>
      <w:lang w:val="en-US" w:eastAsia="zh-CN" w:bidi="ar-SA"/>
    </w:rPr>
  </w:style>
  <w:style w:type="paragraph" w:styleId="3">
    <w:name w:val="heading 1"/>
    <w:next w:val="1"/>
    <w:qFormat/>
    <w:uiPriority w:val="0"/>
    <w:pPr>
      <w:keepNext/>
      <w:keepLines/>
      <w:spacing w:before="340" w:beforeLines="0" w:beforeAutospacing="0" w:after="330" w:afterLines="0" w:afterAutospacing="0" w:line="240" w:lineRule="auto"/>
      <w:jc w:val="center"/>
      <w:outlineLvl w:val="0"/>
    </w:pPr>
    <w:rPr>
      <w:rFonts w:ascii="Times New Roman" w:hAnsi="Times New Roman" w:eastAsia="黑体" w:cstheme="minorBidi"/>
      <w:b/>
      <w:kern w:val="44"/>
      <w:sz w:val="36"/>
    </w:rPr>
  </w:style>
  <w:style w:type="paragraph" w:styleId="4">
    <w:name w:val="heading 3"/>
    <w:basedOn w:val="1"/>
    <w:next w:val="1"/>
    <w:semiHidden/>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8">
    <w:name w:val="Default Paragraph Font"/>
    <w:semiHidden/>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uiPriority w:val="0"/>
    <w:rPr>
      <w:rFonts w:ascii="宋体" w:hAnsi="Courier New"/>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character" w:styleId="9">
    <w:name w:val="page number"/>
    <w:basedOn w:val="8"/>
    <w:qFormat/>
    <w:uiPriority w:val="0"/>
  </w:style>
  <w:style w:type="paragraph" w:customStyle="1" w:styleId="10">
    <w:name w:val="p0"/>
    <w:basedOn w:val="1"/>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Office_11.3.0.8775_F1E327BC-269C-435d-A152-05C5408002CA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2021-07-19T07:38:00Z</dcterms:created>
  <dc:creator>Administrator</dc:creator>
  <cp:lastModifiedBy>Administrator</cp:lastModifiedBy>
  <dcterms:modified xsi:type="dcterms:W3CDTF">2021-07-19T07:54:04Z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