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0"/>
          <w:szCs w:val="40"/>
        </w:rPr>
      </w:pPr>
    </w:p>
    <w:p>
      <w:pPr>
        <w:jc w:val="center"/>
        <w:rPr>
          <w:rFonts w:hint="eastAsia" w:ascii="黑体" w:hAnsi="黑体" w:eastAsia="黑体" w:cs="黑体"/>
          <w:b/>
          <w:bCs/>
          <w:sz w:val="40"/>
          <w:szCs w:val="40"/>
        </w:rPr>
      </w:pPr>
      <w:r>
        <w:rPr>
          <w:rFonts w:hint="eastAsia" w:ascii="黑体" w:hAnsi="黑体" w:eastAsia="黑体" w:cs="黑体"/>
          <w:b/>
          <w:bCs/>
          <w:sz w:val="40"/>
          <w:szCs w:val="40"/>
        </w:rPr>
        <w:t>中国人民银行办公厅关于印发《涉赌博资金链责任划分指引》的通知</w:t>
      </w:r>
    </w:p>
    <w:p>
      <w:pPr>
        <w:jc w:val="center"/>
        <w:rPr>
          <w:rFonts w:hint="eastAsia" w:ascii="黑体" w:hAnsi="黑体" w:eastAsia="黑体" w:cs="黑体"/>
          <w:b/>
          <w:bCs/>
          <w:sz w:val="40"/>
          <w:szCs w:val="40"/>
        </w:rPr>
      </w:pPr>
      <w:r>
        <w:rPr>
          <w:rFonts w:hint="eastAsia" w:ascii="黑体" w:hAnsi="黑体" w:eastAsia="黑体" w:cs="黑体"/>
          <w:b/>
          <w:bCs/>
          <w:sz w:val="40"/>
          <w:szCs w:val="40"/>
        </w:rPr>
        <w:t>银办发〔2020〕155号</w:t>
      </w:r>
    </w:p>
    <w:p>
      <w:pPr>
        <w:jc w:val="center"/>
        <w:rPr>
          <w:rFonts w:hint="eastAsia" w:ascii="黑体" w:hAnsi="黑体" w:eastAsia="黑体" w:cs="黑体"/>
          <w:b/>
          <w:bCs/>
          <w:sz w:val="40"/>
          <w:szCs w:val="40"/>
        </w:rPr>
      </w:pPr>
    </w:p>
    <w:p>
      <w:pPr>
        <w:rPr>
          <w:rFonts w:hint="eastAsia"/>
          <w:sz w:val="30"/>
          <w:szCs w:val="30"/>
        </w:rPr>
      </w:pPr>
      <w:r>
        <w:rPr>
          <w:rFonts w:hint="eastAsia"/>
          <w:sz w:val="30"/>
          <w:szCs w:val="30"/>
        </w:rPr>
        <w:t>中国人民银行上海总部，各分行、营业管理部、省会（首府）城市中心支行、副省级城市中心支行；各国有商业银行、股份制商业银行，中国邮政储蓄银行；各清算机构，各非银行支付机构；中国支付清算协会：</w:t>
      </w:r>
    </w:p>
    <w:p>
      <w:pPr>
        <w:ind w:firstLine="600" w:firstLineChars="200"/>
        <w:rPr>
          <w:rFonts w:hint="eastAsia"/>
          <w:sz w:val="30"/>
          <w:szCs w:val="30"/>
        </w:rPr>
      </w:pPr>
      <w:r>
        <w:rPr>
          <w:rFonts w:hint="eastAsia"/>
          <w:sz w:val="30"/>
          <w:szCs w:val="30"/>
        </w:rPr>
        <w:t>为斩断赌博资金链路，建立健全责任倒查机制，压实各支付服务主体责任，人民银行制定了《涉赌博资金链责任划分指引》（见附件）。现印发给你们，请遵照执行。</w:t>
      </w:r>
    </w:p>
    <w:p>
      <w:pPr>
        <w:ind w:firstLine="600" w:firstLineChars="200"/>
        <w:rPr>
          <w:rFonts w:hint="eastAsia"/>
          <w:sz w:val="30"/>
          <w:szCs w:val="30"/>
        </w:rPr>
      </w:pPr>
      <w:r>
        <w:rPr>
          <w:rFonts w:hint="eastAsia"/>
          <w:sz w:val="30"/>
          <w:szCs w:val="30"/>
        </w:rPr>
        <w:t>电信网络诈骗等其他违法违规活动相关责任划分比照《涉赌博资金链责任划分指引》处理。</w:t>
      </w:r>
    </w:p>
    <w:p>
      <w:pPr>
        <w:ind w:firstLine="600" w:firstLineChars="200"/>
        <w:rPr>
          <w:rFonts w:hint="eastAsia"/>
          <w:sz w:val="30"/>
          <w:szCs w:val="30"/>
        </w:rPr>
      </w:pPr>
      <w:r>
        <w:rPr>
          <w:rFonts w:hint="eastAsia"/>
          <w:sz w:val="30"/>
          <w:szCs w:val="30"/>
        </w:rPr>
        <w:t>请人民银行上海总部，各分行、营业管理部、省会（首府）城市中心支行、副省级城市中心支行将《涉赌博资金链责任划分指引》转发至辖区内各城市商业银行、农村商业银行、农村合作银行、村镇银行、农村信用社和外资银行等支付服务主体，并加强后续跟踪监管，将有关情况及时告知总行支付结算司。</w:t>
      </w:r>
    </w:p>
    <w:p>
      <w:pPr>
        <w:ind w:firstLine="600" w:firstLineChars="200"/>
        <w:rPr>
          <w:rFonts w:hint="eastAsia"/>
          <w:sz w:val="30"/>
          <w:szCs w:val="30"/>
        </w:rPr>
      </w:pPr>
      <w:r>
        <w:rPr>
          <w:rFonts w:hint="eastAsia"/>
          <w:sz w:val="30"/>
          <w:szCs w:val="30"/>
        </w:rPr>
        <w:t>联系人及电话：支付结算司谷畅010-66194529</w:t>
      </w:r>
    </w:p>
    <w:p>
      <w:pPr>
        <w:ind w:firstLine="600" w:firstLineChars="200"/>
        <w:rPr>
          <w:rFonts w:hint="eastAsia"/>
        </w:rPr>
      </w:pPr>
      <w:r>
        <w:rPr>
          <w:rFonts w:hint="eastAsia"/>
          <w:sz w:val="30"/>
          <w:szCs w:val="30"/>
        </w:rPr>
        <w:t>陶江涛010-66195509</w:t>
      </w:r>
    </w:p>
    <w:p>
      <w:pPr>
        <w:ind w:firstLine="600" w:firstLineChars="200"/>
        <w:rPr>
          <w:rFonts w:hint="eastAsia"/>
          <w:sz w:val="30"/>
          <w:szCs w:val="30"/>
        </w:rPr>
      </w:pPr>
      <w:r>
        <w:rPr>
          <w:rFonts w:hint="eastAsia"/>
          <w:sz w:val="30"/>
          <w:szCs w:val="30"/>
        </w:rPr>
        <w:t>附件：涉赌博资金链责任划分指引</w:t>
      </w:r>
    </w:p>
    <w:p>
      <w:pPr>
        <w:jc w:val="right"/>
        <w:rPr>
          <w:rFonts w:hint="eastAsia"/>
          <w:sz w:val="30"/>
          <w:szCs w:val="30"/>
        </w:rPr>
      </w:pPr>
      <w:r>
        <w:rPr>
          <w:rFonts w:hint="eastAsia"/>
          <w:sz w:val="30"/>
          <w:szCs w:val="30"/>
        </w:rPr>
        <w:t>中国人民银行办公厅</w:t>
      </w:r>
    </w:p>
    <w:p>
      <w:pPr>
        <w:jc w:val="right"/>
        <w:rPr>
          <w:rFonts w:hint="eastAsia"/>
          <w:sz w:val="30"/>
          <w:szCs w:val="30"/>
        </w:rPr>
      </w:pPr>
      <w:r>
        <w:rPr>
          <w:rFonts w:hint="eastAsia"/>
          <w:sz w:val="30"/>
          <w:szCs w:val="30"/>
        </w:rPr>
        <w:t>2020年11月6日</w:t>
      </w:r>
    </w:p>
    <w:p>
      <w:pPr>
        <w:tabs>
          <w:tab w:val="left" w:pos="3472"/>
          <w:tab w:val="center" w:pos="4213"/>
        </w:tabs>
        <w:jc w:val="left"/>
        <w:rPr>
          <w:rFonts w:hint="eastAsia" w:ascii="黑体" w:hAnsi="黑体" w:eastAsia="黑体" w:cs="黑体"/>
          <w:b/>
          <w:bCs/>
          <w:sz w:val="40"/>
          <w:szCs w:val="40"/>
        </w:rPr>
      </w:pPr>
    </w:p>
    <w:p>
      <w:pPr>
        <w:tabs>
          <w:tab w:val="left" w:pos="3472"/>
          <w:tab w:val="center" w:pos="4213"/>
        </w:tabs>
        <w:jc w:val="left"/>
        <w:rPr>
          <w:rFonts w:hint="eastAsia" w:ascii="黑体" w:hAnsi="黑体" w:eastAsia="黑体" w:cs="黑体"/>
          <w:b/>
          <w:bCs/>
          <w:sz w:val="30"/>
          <w:szCs w:val="30"/>
        </w:rPr>
      </w:pPr>
      <w:r>
        <w:rPr>
          <w:rFonts w:hint="eastAsia" w:ascii="黑体" w:hAnsi="黑体" w:eastAsia="黑体" w:cs="黑体"/>
          <w:b/>
          <w:bCs/>
          <w:sz w:val="30"/>
          <w:szCs w:val="30"/>
        </w:rPr>
        <w:t>附件</w:t>
      </w:r>
    </w:p>
    <w:p>
      <w:pPr>
        <w:jc w:val="center"/>
        <w:rPr>
          <w:rFonts w:hint="eastAsia" w:ascii="黑体" w:hAnsi="黑体" w:eastAsia="黑体" w:cs="黑体"/>
          <w:b/>
          <w:bCs/>
          <w:sz w:val="40"/>
          <w:szCs w:val="40"/>
        </w:rPr>
      </w:pPr>
    </w:p>
    <w:p>
      <w:pPr>
        <w:jc w:val="center"/>
        <w:rPr>
          <w:rFonts w:hint="eastAsia" w:ascii="黑体" w:hAnsi="黑体" w:eastAsia="黑体" w:cs="黑体"/>
          <w:b/>
          <w:bCs/>
          <w:sz w:val="40"/>
          <w:szCs w:val="40"/>
        </w:rPr>
      </w:pPr>
      <w:r>
        <w:rPr>
          <w:rFonts w:hint="eastAsia" w:ascii="黑体" w:hAnsi="黑体" w:eastAsia="黑体" w:cs="黑体"/>
          <w:b/>
          <w:bCs/>
          <w:sz w:val="40"/>
          <w:szCs w:val="40"/>
        </w:rPr>
        <w:t>涉赌博资金链责任划分指引</w:t>
      </w:r>
    </w:p>
    <w:p>
      <w:pPr>
        <w:jc w:val="center"/>
        <w:rPr>
          <w:rFonts w:hint="eastAsia" w:ascii="黑体" w:hAnsi="黑体" w:eastAsia="黑体" w:cs="黑体"/>
          <w:b/>
          <w:bCs/>
          <w:sz w:val="40"/>
          <w:szCs w:val="40"/>
        </w:rPr>
      </w:pPr>
    </w:p>
    <w:p>
      <w:pPr>
        <w:ind w:firstLine="600" w:firstLineChars="200"/>
        <w:rPr>
          <w:rFonts w:hint="eastAsia"/>
          <w:sz w:val="30"/>
          <w:szCs w:val="30"/>
        </w:rPr>
      </w:pPr>
      <w:r>
        <w:rPr>
          <w:rFonts w:hint="eastAsia"/>
          <w:sz w:val="30"/>
          <w:szCs w:val="30"/>
        </w:rPr>
        <w:t>本指引旨在厘清涉赌博资金链主要业务环节可能涉及的银行、支付机构、清算机构等支付服务主体的主要责任，适用于涉赌博资金链各主体责任倒查与认定。</w:t>
      </w:r>
    </w:p>
    <w:p>
      <w:pPr>
        <w:ind w:firstLine="602" w:firstLineChars="200"/>
        <w:rPr>
          <w:rFonts w:hint="eastAsia"/>
          <w:b/>
          <w:bCs/>
          <w:sz w:val="30"/>
          <w:szCs w:val="30"/>
        </w:rPr>
      </w:pPr>
      <w:r>
        <w:rPr>
          <w:rFonts w:hint="eastAsia"/>
          <w:b/>
          <w:bCs/>
          <w:sz w:val="30"/>
          <w:szCs w:val="30"/>
        </w:rPr>
        <w:t>一、支付服务主体责任划分</w:t>
      </w:r>
    </w:p>
    <w:p>
      <w:pPr>
        <w:ind w:firstLine="600" w:firstLineChars="200"/>
        <w:rPr>
          <w:rFonts w:hint="eastAsia"/>
          <w:sz w:val="30"/>
          <w:szCs w:val="30"/>
        </w:rPr>
      </w:pPr>
      <w:r>
        <w:rPr>
          <w:rFonts w:hint="eastAsia"/>
          <w:sz w:val="30"/>
          <w:szCs w:val="30"/>
        </w:rPr>
        <w:t>（一）账户机构责任。</w:t>
      </w:r>
    </w:p>
    <w:p>
      <w:pPr>
        <w:ind w:firstLine="600" w:firstLineChars="200"/>
        <w:rPr>
          <w:rFonts w:hint="eastAsia"/>
          <w:sz w:val="30"/>
          <w:szCs w:val="30"/>
        </w:rPr>
      </w:pPr>
      <w:r>
        <w:rPr>
          <w:rFonts w:hint="eastAsia"/>
          <w:sz w:val="30"/>
          <w:szCs w:val="30"/>
        </w:rPr>
        <w:t>根据“谁的客户谁负责”原则，银行、支付机构（统称账户机构）为客户开立的银行账户（含银行卡）或支付账户（以下统称账户）被用于赌博的，由账户机构承担相应责任。账户机构应对所开立的账户实施全生命周期管理，强化运用现代科技手段，采取有效措施防范所开立的账户被用于赌博。账户机构的责任包括但不限于：</w:t>
      </w:r>
    </w:p>
    <w:p>
      <w:pPr>
        <w:ind w:firstLine="600" w:firstLineChars="200"/>
        <w:rPr>
          <w:rFonts w:hint="eastAsia"/>
          <w:sz w:val="30"/>
          <w:szCs w:val="30"/>
        </w:rPr>
      </w:pPr>
      <w:r>
        <w:rPr>
          <w:rFonts w:hint="eastAsia"/>
          <w:sz w:val="30"/>
          <w:szCs w:val="30"/>
        </w:rPr>
        <w:t>1.开立环节责任。账户机构应严格落实账户实名制要求，在开立账户时对客户身份进行有效识别，严格审核开户主体身份证明文件和开户意愿，规范留存身份证明文件和尽职调查记录，采取有效措施核实开户主体身份证明文件、手机号码、住址等重要信息。对异常开户情形，应加大客户尽职调查力度，审慎开通非柜面业务并采取适当限制措施，必要时应拒绝开立相关账户。</w:t>
      </w:r>
    </w:p>
    <w:p>
      <w:pPr>
        <w:ind w:firstLine="600" w:firstLineChars="200"/>
        <w:rPr>
          <w:rFonts w:hint="eastAsia"/>
          <w:sz w:val="30"/>
          <w:szCs w:val="30"/>
        </w:rPr>
      </w:pPr>
      <w:r>
        <w:rPr>
          <w:rFonts w:hint="eastAsia"/>
          <w:sz w:val="30"/>
          <w:szCs w:val="30"/>
        </w:rPr>
        <w:t>2.使用环节责任。</w:t>
      </w:r>
    </w:p>
    <w:p>
      <w:pPr>
        <w:ind w:firstLine="600" w:firstLineChars="200"/>
        <w:rPr>
          <w:rFonts w:hint="eastAsia"/>
          <w:sz w:val="30"/>
          <w:szCs w:val="30"/>
        </w:rPr>
      </w:pPr>
      <w:r>
        <w:rPr>
          <w:rFonts w:hint="eastAsia"/>
          <w:sz w:val="30"/>
          <w:szCs w:val="30"/>
        </w:rPr>
        <w:t>（1）账户机构应在业务关系存续期间采取持续的客户身份识别及风险监测措施。</w:t>
      </w:r>
    </w:p>
    <w:p>
      <w:pPr>
        <w:ind w:firstLine="600" w:firstLineChars="200"/>
        <w:rPr>
          <w:rFonts w:hint="eastAsia"/>
          <w:sz w:val="30"/>
          <w:szCs w:val="30"/>
        </w:rPr>
      </w:pPr>
      <w:r>
        <w:rPr>
          <w:rFonts w:hint="eastAsia"/>
          <w:sz w:val="30"/>
          <w:szCs w:val="30"/>
        </w:rPr>
        <w:t>（2）账户机构应对本机构开立的，且开户主体身份证明文件、手机号码、住址等账户开立必要要素相同的所有账户进行关联管理和风险评估。</w:t>
      </w:r>
    </w:p>
    <w:p>
      <w:pPr>
        <w:ind w:firstLine="600" w:firstLineChars="200"/>
        <w:rPr>
          <w:rFonts w:hint="eastAsia"/>
          <w:sz w:val="30"/>
          <w:szCs w:val="30"/>
        </w:rPr>
      </w:pPr>
      <w:r>
        <w:rPr>
          <w:rFonts w:hint="eastAsia"/>
          <w:sz w:val="30"/>
          <w:szCs w:val="30"/>
        </w:rPr>
        <w:t>（3）账户机构应按照清算机构明确的交易信息上送规则，准确、完整上送真实交易信息。针对信息填写不规范的交易，账户机构应采取适当限制措施。</w:t>
      </w:r>
    </w:p>
    <w:p>
      <w:pPr>
        <w:ind w:firstLine="600" w:firstLineChars="200"/>
        <w:rPr>
          <w:rFonts w:hint="eastAsia"/>
          <w:sz w:val="30"/>
          <w:szCs w:val="30"/>
        </w:rPr>
      </w:pPr>
      <w:r>
        <w:rPr>
          <w:rFonts w:hint="eastAsia"/>
          <w:sz w:val="30"/>
          <w:szCs w:val="30"/>
        </w:rPr>
        <w:t>（4）账户机构应对疑似涉赌博账户加强交易验证，包括但不</w:t>
      </w:r>
    </w:p>
    <w:p>
      <w:pPr>
        <w:ind w:firstLine="600" w:firstLineChars="200"/>
        <w:rPr>
          <w:rFonts w:hint="eastAsia"/>
          <w:sz w:val="30"/>
          <w:szCs w:val="30"/>
        </w:rPr>
      </w:pPr>
      <w:r>
        <w:rPr>
          <w:rFonts w:hint="eastAsia"/>
          <w:sz w:val="30"/>
          <w:szCs w:val="30"/>
        </w:rPr>
        <w:t>限于增加验证要素数量、增加生物要素识别等更强验证方式，并</w:t>
      </w:r>
    </w:p>
    <w:p>
      <w:pPr>
        <w:ind w:firstLine="600" w:firstLineChars="200"/>
        <w:rPr>
          <w:rFonts w:hint="eastAsia"/>
          <w:sz w:val="30"/>
          <w:szCs w:val="30"/>
        </w:rPr>
      </w:pPr>
      <w:r>
        <w:rPr>
          <w:rFonts w:hint="eastAsia"/>
          <w:sz w:val="30"/>
          <w:szCs w:val="30"/>
        </w:rPr>
        <w:t>视情采取面对面、视频等方式核实客户身份。确实无法核实或核</w:t>
      </w:r>
    </w:p>
    <w:p>
      <w:pPr>
        <w:ind w:firstLine="600" w:firstLineChars="200"/>
        <w:rPr>
          <w:rFonts w:hint="eastAsia"/>
          <w:sz w:val="30"/>
          <w:szCs w:val="30"/>
        </w:rPr>
      </w:pPr>
      <w:r>
        <w:rPr>
          <w:rFonts w:hint="eastAsia"/>
          <w:sz w:val="30"/>
          <w:szCs w:val="30"/>
        </w:rPr>
        <w:t>实后确为可疑的，应采取适当处置措施，及时移送所在地公安机</w:t>
      </w:r>
    </w:p>
    <w:p>
      <w:pPr>
        <w:ind w:firstLine="600" w:firstLineChars="200"/>
        <w:rPr>
          <w:rFonts w:hint="eastAsia"/>
          <w:sz w:val="30"/>
          <w:szCs w:val="30"/>
        </w:rPr>
      </w:pPr>
      <w:r>
        <w:rPr>
          <w:rFonts w:hint="eastAsia"/>
          <w:sz w:val="30"/>
          <w:szCs w:val="30"/>
        </w:rPr>
        <w:t>关，同时报告相关清算机构和中国支付清算协会。</w:t>
      </w:r>
    </w:p>
    <w:p>
      <w:pPr>
        <w:ind w:firstLine="600" w:firstLineChars="200"/>
        <w:rPr>
          <w:rFonts w:hint="eastAsia"/>
          <w:sz w:val="30"/>
          <w:szCs w:val="30"/>
        </w:rPr>
      </w:pPr>
      <w:r>
        <w:rPr>
          <w:rFonts w:hint="eastAsia"/>
          <w:sz w:val="30"/>
          <w:szCs w:val="30"/>
        </w:rPr>
        <w:t>（5）账户机构应对向公安机关移送的涉案账户、涉案账户开户主体（包括但不限于涉案账户开户人或开户单位法定代表人、负责人）在本机构开立的其他账户进行重点核实和监测。对不配合开展客户身份核实或无法进行客户身份核实的，账户机构应对账户采取适当处置措施。</w:t>
      </w:r>
    </w:p>
    <w:p>
      <w:pPr>
        <w:ind w:firstLine="600" w:firstLineChars="200"/>
        <w:rPr>
          <w:rFonts w:hint="eastAsia"/>
          <w:sz w:val="30"/>
          <w:szCs w:val="30"/>
        </w:rPr>
      </w:pPr>
      <w:r>
        <w:rPr>
          <w:rFonts w:hint="eastAsia"/>
          <w:sz w:val="30"/>
          <w:szCs w:val="30"/>
        </w:rPr>
        <w:t>3.终止环节责任。账户机构应在业务关系终止时进行必要的审查，高度关注频繁挂失重开或挂失换卡等情况。</w:t>
      </w:r>
    </w:p>
    <w:p>
      <w:pPr>
        <w:ind w:firstLine="600" w:firstLineChars="200"/>
        <w:rPr>
          <w:rFonts w:hint="eastAsia"/>
          <w:sz w:val="30"/>
          <w:szCs w:val="30"/>
        </w:rPr>
      </w:pPr>
      <w:r>
        <w:rPr>
          <w:rFonts w:hint="eastAsia"/>
          <w:sz w:val="30"/>
          <w:szCs w:val="30"/>
        </w:rPr>
        <w:t>4.核查及协查责任。账户机构应配合公安机关开展涉案账户协查工作，依法采取查询、冻结等措施；配合有权机关开展账户线索核查工作。</w:t>
      </w:r>
    </w:p>
    <w:p>
      <w:pPr>
        <w:ind w:firstLine="600" w:firstLineChars="200"/>
        <w:rPr>
          <w:rFonts w:hint="eastAsia"/>
          <w:sz w:val="30"/>
          <w:szCs w:val="30"/>
        </w:rPr>
      </w:pPr>
      <w:r>
        <w:rPr>
          <w:rFonts w:hint="eastAsia"/>
          <w:sz w:val="30"/>
          <w:szCs w:val="30"/>
        </w:rPr>
        <w:t>账户机构无正当理由不认真配合相关核查或协查工作的，包括但不限于不反馈结果、反馈内容简单、反馈时效差，应承担相应责任。</w:t>
      </w:r>
    </w:p>
    <w:p>
      <w:pPr>
        <w:ind w:firstLine="600" w:firstLineChars="200"/>
        <w:rPr>
          <w:rFonts w:hint="eastAsia"/>
          <w:sz w:val="30"/>
          <w:szCs w:val="30"/>
        </w:rPr>
      </w:pPr>
      <w:r>
        <w:rPr>
          <w:rFonts w:hint="eastAsia"/>
          <w:sz w:val="30"/>
          <w:szCs w:val="30"/>
        </w:rPr>
        <w:t>（二）收单机构责任。</w:t>
      </w:r>
    </w:p>
    <w:p>
      <w:pPr>
        <w:ind w:firstLine="600" w:firstLineChars="200"/>
        <w:rPr>
          <w:rFonts w:hint="eastAsia"/>
          <w:sz w:val="30"/>
          <w:szCs w:val="30"/>
        </w:rPr>
      </w:pPr>
      <w:r>
        <w:rPr>
          <w:rFonts w:hint="eastAsia"/>
          <w:sz w:val="30"/>
          <w:szCs w:val="30"/>
        </w:rPr>
        <w:t>1.特约商户管理责任。</w:t>
      </w:r>
    </w:p>
    <w:p>
      <w:pPr>
        <w:ind w:firstLine="600" w:firstLineChars="200"/>
        <w:rPr>
          <w:rFonts w:hint="eastAsia"/>
          <w:sz w:val="30"/>
          <w:szCs w:val="30"/>
        </w:rPr>
      </w:pPr>
      <w:r>
        <w:rPr>
          <w:rFonts w:hint="eastAsia"/>
          <w:sz w:val="30"/>
          <w:szCs w:val="30"/>
        </w:rPr>
        <w:t>（1）根据“谁的商户谁负责”原则，银行、支付机构（统称收单机构）与之签订支付服务协议，并为之提供支付服务的特约商户参与赌博的，由收单机构承担相应责任。特约商户为电子商务平台的，如电子商务平台内的经营者参与赌博，由为电子商务平台提供支付服务的收单机构承担相应责任，该责任不因电子商务平台实施商户接入而发生转移。</w:t>
      </w:r>
    </w:p>
    <w:p>
      <w:pPr>
        <w:ind w:firstLine="600" w:firstLineChars="200"/>
        <w:rPr>
          <w:rFonts w:hint="eastAsia"/>
          <w:sz w:val="30"/>
          <w:szCs w:val="30"/>
        </w:rPr>
      </w:pPr>
      <w:r>
        <w:rPr>
          <w:rFonts w:hint="eastAsia"/>
          <w:sz w:val="30"/>
          <w:szCs w:val="30"/>
        </w:rPr>
        <w:t>（2）收单机构应在办理特约商户入网时严格审核申请材料，对已被中国支付清算协会或清算机构相关行业风险信息共享系统、特约商户信息管理系统等列为异常状态的商户及同一法定代表人或负责人的关联商户应审慎办理特约商户入网。收单机构应在业务存续期间持续核实特约商户真实意愿及特约商户经营活动的真实性和合法性，并妥善做好特约商户退出工作。</w:t>
      </w:r>
    </w:p>
    <w:p>
      <w:pPr>
        <w:ind w:firstLine="600" w:firstLineChars="200"/>
        <w:rPr>
          <w:rFonts w:hint="eastAsia"/>
          <w:sz w:val="30"/>
          <w:szCs w:val="30"/>
        </w:rPr>
      </w:pPr>
      <w:r>
        <w:rPr>
          <w:rFonts w:hint="eastAsia"/>
          <w:sz w:val="30"/>
          <w:szCs w:val="30"/>
        </w:rPr>
        <w:t>（3）收单机构应加强风险监测及检查，对疑似涉赌博且有固定经营场所的实体特约商户进行现场检查核实，对疑似涉赌博但无固定经营场所的实体特约商户和网络特约商户采取有效措施检查核实其经营内容和交易情况。确实无法核实或核实后确为可疑的，应采取适当处置措施，及时移送所在地公安机关，同时报告相关清算机构和中国支付清算协会。</w:t>
      </w:r>
    </w:p>
    <w:p>
      <w:pPr>
        <w:ind w:firstLine="600" w:firstLineChars="200"/>
        <w:rPr>
          <w:rFonts w:hint="eastAsia"/>
          <w:sz w:val="30"/>
          <w:szCs w:val="30"/>
        </w:rPr>
      </w:pPr>
      <w:r>
        <w:rPr>
          <w:rFonts w:hint="eastAsia"/>
          <w:sz w:val="30"/>
          <w:szCs w:val="30"/>
        </w:rPr>
        <w:t>2.终端管理责任。</w:t>
      </w:r>
    </w:p>
    <w:p>
      <w:pPr>
        <w:ind w:firstLine="600" w:firstLineChars="200"/>
        <w:rPr>
          <w:rFonts w:hint="eastAsia"/>
          <w:sz w:val="30"/>
          <w:szCs w:val="30"/>
        </w:rPr>
      </w:pPr>
      <w:r>
        <w:rPr>
          <w:rFonts w:hint="eastAsia"/>
          <w:sz w:val="30"/>
          <w:szCs w:val="30"/>
        </w:rPr>
        <w:t>（1）根据“谁入网谁负责”原则，收单机构办理清算网络入网手续的终端被用于赌博的，由收单机构承担相应责任，该责任不因终端布放外包而发生转移。</w:t>
      </w:r>
    </w:p>
    <w:p>
      <w:pPr>
        <w:ind w:firstLine="600" w:firstLineChars="200"/>
        <w:rPr>
          <w:rFonts w:hint="eastAsia"/>
          <w:sz w:val="30"/>
          <w:szCs w:val="30"/>
        </w:rPr>
      </w:pPr>
      <w:r>
        <w:rPr>
          <w:rFonts w:hint="eastAsia"/>
          <w:sz w:val="30"/>
          <w:szCs w:val="30"/>
        </w:rPr>
        <w:t>（2）收单机构应加强对终端入网的审核，加强对交易位置等的监测与检查。对终端发生移机或被用于赌博的，应停止收单服务并收回终端。</w:t>
      </w:r>
    </w:p>
    <w:p>
      <w:pPr>
        <w:ind w:firstLine="600" w:firstLineChars="200"/>
        <w:rPr>
          <w:rFonts w:hint="eastAsia"/>
          <w:sz w:val="30"/>
          <w:szCs w:val="30"/>
        </w:rPr>
      </w:pPr>
      <w:r>
        <w:rPr>
          <w:rFonts w:hint="eastAsia"/>
          <w:sz w:val="30"/>
          <w:szCs w:val="30"/>
        </w:rPr>
        <w:t>（3）收单机构与商户终止服务协议或因其他原因不再为商户提供服务的，应妥善做好终端收回工作。确实无法收回终端的，应关闭终端受理功能，并报告相关清算机构。</w:t>
      </w:r>
    </w:p>
    <w:p>
      <w:pPr>
        <w:ind w:firstLine="600" w:firstLineChars="200"/>
        <w:rPr>
          <w:rFonts w:hint="eastAsia"/>
          <w:sz w:val="30"/>
          <w:szCs w:val="30"/>
        </w:rPr>
      </w:pPr>
      <w:r>
        <w:rPr>
          <w:rFonts w:hint="eastAsia"/>
          <w:sz w:val="30"/>
          <w:szCs w:val="30"/>
        </w:rPr>
        <w:t>3.外包服务机构管理责任。</w:t>
      </w:r>
    </w:p>
    <w:p>
      <w:pPr>
        <w:ind w:firstLine="600" w:firstLineChars="200"/>
        <w:rPr>
          <w:rFonts w:hint="eastAsia"/>
          <w:sz w:val="30"/>
          <w:szCs w:val="30"/>
        </w:rPr>
      </w:pPr>
      <w:r>
        <w:rPr>
          <w:rFonts w:hint="eastAsia"/>
          <w:sz w:val="30"/>
          <w:szCs w:val="30"/>
        </w:rPr>
        <w:t>（1）根据“谁的合作机构谁负责”原则，收单机构的外包服务机构基于收单机构相关服务参与赌博的，由收单机构承担相应责任。</w:t>
      </w:r>
    </w:p>
    <w:p>
      <w:pPr>
        <w:ind w:firstLine="600" w:firstLineChars="200"/>
        <w:rPr>
          <w:rFonts w:hint="eastAsia"/>
          <w:sz w:val="30"/>
          <w:szCs w:val="30"/>
        </w:rPr>
      </w:pPr>
      <w:r>
        <w:rPr>
          <w:rFonts w:hint="eastAsia"/>
          <w:sz w:val="30"/>
          <w:szCs w:val="30"/>
        </w:rPr>
        <w:t>（2）收单机构在与外包服务机构开展业务合作前，应对外包服务机构进行全面尽职调查，对已被中国支付清算协会相关行业风险信息共享系统列为异常状态的外包服务机构及同一法定代表人或负责人的关联外包服务机构应审慎开展合作。</w:t>
      </w:r>
    </w:p>
    <w:p>
      <w:pPr>
        <w:ind w:firstLine="600" w:firstLineChars="200"/>
        <w:rPr>
          <w:rFonts w:hint="eastAsia"/>
          <w:sz w:val="30"/>
          <w:szCs w:val="30"/>
        </w:rPr>
      </w:pPr>
      <w:r>
        <w:rPr>
          <w:rFonts w:hint="eastAsia"/>
          <w:sz w:val="30"/>
          <w:szCs w:val="30"/>
        </w:rPr>
        <w:t>（3）收单机构应在与外包服务机构业务合作期间，持续加强对外包服务机构的风险监测及检查，发现外包服务机构疑似涉赌博应立即进行核实。确实无法核实或核实后确为可疑的，应采取适当处置措施，及时移送所在地公安机关，同时报告相关清算机构和中国支付清算协会。</w:t>
      </w:r>
    </w:p>
    <w:p>
      <w:pPr>
        <w:ind w:firstLine="600" w:firstLineChars="200"/>
        <w:rPr>
          <w:rFonts w:hint="eastAsia"/>
          <w:sz w:val="30"/>
          <w:szCs w:val="30"/>
        </w:rPr>
      </w:pPr>
      <w:r>
        <w:rPr>
          <w:rFonts w:hint="eastAsia"/>
          <w:sz w:val="30"/>
          <w:szCs w:val="30"/>
        </w:rPr>
        <w:t>（4）收单机构与外包服务机构的业务合作终止时，应妥善做好终止工作，并确保稳妥处置相关业务。</w:t>
      </w:r>
    </w:p>
    <w:p>
      <w:pPr>
        <w:ind w:firstLine="600" w:firstLineChars="200"/>
        <w:rPr>
          <w:rFonts w:hint="eastAsia"/>
          <w:sz w:val="30"/>
          <w:szCs w:val="30"/>
        </w:rPr>
      </w:pPr>
      <w:r>
        <w:rPr>
          <w:rFonts w:hint="eastAsia"/>
          <w:sz w:val="30"/>
          <w:szCs w:val="30"/>
        </w:rPr>
        <w:t>4.交易信息管理责任。收单机构应按照清算机构明确的交易信息上送规则，准确、完整上送真实交易信息。涉及电子商务平台的，应一并上送实际发生交易的电子商务平台内经营者信息。收单机构未按要求上送信息、上送交易信息涉赌博的，由收单机构承担相应责任。</w:t>
      </w:r>
    </w:p>
    <w:p>
      <w:pPr>
        <w:ind w:firstLine="600" w:firstLineChars="200"/>
        <w:rPr>
          <w:rFonts w:hint="eastAsia"/>
          <w:sz w:val="30"/>
          <w:szCs w:val="30"/>
        </w:rPr>
      </w:pPr>
      <w:r>
        <w:rPr>
          <w:rFonts w:hint="eastAsia"/>
          <w:sz w:val="30"/>
          <w:szCs w:val="30"/>
        </w:rPr>
        <w:t>5.核查及协查责任。收单机构应配合公安机关开展涉案商户协查工作，依法开展处置工作；配合有权机关开展商户线索核查工作。收单机构无正当理由不认真配合相关核查或协查工作的，包括但不限于不反馈结果、反馈内容简单、反馈时效差，应承担相应责任。</w:t>
      </w:r>
    </w:p>
    <w:p>
      <w:pPr>
        <w:ind w:firstLine="600" w:firstLineChars="200"/>
        <w:rPr>
          <w:rFonts w:hint="eastAsia"/>
          <w:sz w:val="30"/>
          <w:szCs w:val="30"/>
        </w:rPr>
      </w:pPr>
      <w:r>
        <w:rPr>
          <w:rFonts w:hint="eastAsia"/>
          <w:sz w:val="30"/>
          <w:szCs w:val="30"/>
        </w:rPr>
        <w:t>（三）支付条码管理责任。</w:t>
      </w:r>
    </w:p>
    <w:p>
      <w:pPr>
        <w:ind w:firstLine="600" w:firstLineChars="200"/>
        <w:rPr>
          <w:rFonts w:hint="eastAsia"/>
          <w:sz w:val="30"/>
          <w:szCs w:val="30"/>
        </w:rPr>
      </w:pPr>
      <w:r>
        <w:rPr>
          <w:rFonts w:hint="eastAsia"/>
          <w:sz w:val="30"/>
          <w:szCs w:val="30"/>
        </w:rPr>
        <w:t>1.发码主体责任。</w:t>
      </w:r>
    </w:p>
    <w:p>
      <w:pPr>
        <w:ind w:firstLine="600" w:firstLineChars="200"/>
        <w:rPr>
          <w:rFonts w:hint="eastAsia"/>
          <w:sz w:val="30"/>
          <w:szCs w:val="30"/>
        </w:rPr>
      </w:pPr>
      <w:r>
        <w:rPr>
          <w:rFonts w:hint="eastAsia"/>
          <w:sz w:val="30"/>
          <w:szCs w:val="30"/>
        </w:rPr>
        <w:t>（1）付款条码或个人收款条码视同账户管理，发码机构应履行账户机构管理责任。付款条码或个人收款条码被用于赌博的，由发码机构（账户机构）承担相应责任。</w:t>
      </w:r>
    </w:p>
    <w:p>
      <w:pPr>
        <w:ind w:firstLine="600" w:firstLineChars="200"/>
        <w:rPr>
          <w:rFonts w:hint="eastAsia"/>
          <w:sz w:val="30"/>
          <w:szCs w:val="30"/>
        </w:rPr>
      </w:pPr>
      <w:r>
        <w:rPr>
          <w:rFonts w:hint="eastAsia"/>
          <w:sz w:val="30"/>
          <w:szCs w:val="30"/>
        </w:rPr>
        <w:t>（2）特约商户收款条码视同商户管理，如发码机构为收单机构，发码机构应履行收单机构管理责任；如发码机构为条码聚合服务机构，条码聚合服务机构视同外包服务机构管理，条码管理责任由收单机构承担，该责任不因业务外包而发生转移。特约商户收款条码被用于赌博的，由收单机构承担相应责任。</w:t>
      </w:r>
    </w:p>
    <w:p>
      <w:pPr>
        <w:ind w:firstLine="600" w:firstLineChars="200"/>
        <w:rPr>
          <w:rFonts w:hint="eastAsia"/>
          <w:sz w:val="30"/>
          <w:szCs w:val="30"/>
        </w:rPr>
      </w:pPr>
      <w:r>
        <w:rPr>
          <w:rFonts w:hint="eastAsia"/>
          <w:sz w:val="30"/>
          <w:szCs w:val="30"/>
        </w:rPr>
        <w:t>（3）其他由清算机构生成的条码被用于赌博的，如账户机构与收单机构责任落实到位，由发码机构承担相应责任；如账户机构或收单机构未落实责任或责任落实不到位，由账户机构、收单机构和发码机构承担相应责任。</w:t>
      </w:r>
    </w:p>
    <w:p>
      <w:pPr>
        <w:ind w:firstLine="600" w:firstLineChars="200"/>
        <w:rPr>
          <w:rFonts w:hint="eastAsia"/>
          <w:sz w:val="30"/>
          <w:szCs w:val="30"/>
        </w:rPr>
      </w:pPr>
      <w:r>
        <w:rPr>
          <w:rFonts w:hint="eastAsia"/>
          <w:sz w:val="30"/>
          <w:szCs w:val="30"/>
        </w:rPr>
        <w:t>2.条码监测及处置责任。银行、支付机构、清算机构发现本机构条码或外包服务机构的聚合条码疑似涉赌博的，应立即对客户进行风险警示和核实。确实无法核实或核实后确为可疑的，应采取适当处置措施，及时移送所在地公安机关，同时报告相关清算机构和中国支付清算协会。</w:t>
      </w:r>
    </w:p>
    <w:p>
      <w:pPr>
        <w:ind w:firstLine="600" w:firstLineChars="200"/>
        <w:rPr>
          <w:rFonts w:hint="eastAsia"/>
          <w:sz w:val="30"/>
          <w:szCs w:val="30"/>
        </w:rPr>
      </w:pPr>
      <w:r>
        <w:rPr>
          <w:rFonts w:hint="eastAsia"/>
          <w:sz w:val="30"/>
          <w:szCs w:val="30"/>
        </w:rPr>
        <w:t>3.核查及协查责任。银行、支付机构、清算机构应配合公安机关开展涉案支付条码协查工作，依法开展处置工作；配合有权机关开展支付条码相关线索核查工作。</w:t>
      </w:r>
    </w:p>
    <w:p>
      <w:pPr>
        <w:ind w:firstLine="600" w:firstLineChars="200"/>
        <w:rPr>
          <w:rFonts w:hint="eastAsia"/>
          <w:sz w:val="30"/>
          <w:szCs w:val="30"/>
        </w:rPr>
      </w:pPr>
      <w:r>
        <w:rPr>
          <w:rFonts w:hint="eastAsia"/>
          <w:sz w:val="30"/>
          <w:szCs w:val="30"/>
        </w:rPr>
        <w:t>银行、支付机构、清算机构无正当理由不认真配合相关核查或协查工作的，包括但不限于不反馈结果、反馈内容简单、反馈时效差，应承担相应责任。</w:t>
      </w:r>
    </w:p>
    <w:p>
      <w:pPr>
        <w:ind w:firstLine="600" w:firstLineChars="200"/>
        <w:rPr>
          <w:rFonts w:hint="eastAsia"/>
          <w:sz w:val="30"/>
          <w:szCs w:val="30"/>
        </w:rPr>
      </w:pPr>
      <w:r>
        <w:rPr>
          <w:rFonts w:hint="eastAsia"/>
          <w:sz w:val="30"/>
          <w:szCs w:val="30"/>
        </w:rPr>
        <w:t>（四）接口管理责任。</w:t>
      </w:r>
    </w:p>
    <w:p>
      <w:pPr>
        <w:ind w:firstLine="600" w:firstLineChars="200"/>
        <w:rPr>
          <w:rFonts w:hint="eastAsia"/>
          <w:sz w:val="30"/>
          <w:szCs w:val="30"/>
        </w:rPr>
      </w:pPr>
      <w:r>
        <w:rPr>
          <w:rFonts w:hint="eastAsia"/>
          <w:sz w:val="30"/>
          <w:szCs w:val="30"/>
        </w:rPr>
        <w:t>1.根据“谁的接口谁负责”原则，银行、支付机构、清算机构的支付业务系统接口被用于赌博的，包括但不限于被本机构合作外包服务机构或商户转接用于赌博，由接口所有者承担相应责任。</w:t>
      </w:r>
    </w:p>
    <w:p>
      <w:pPr>
        <w:ind w:firstLine="600" w:firstLineChars="200"/>
        <w:rPr>
          <w:rFonts w:hint="eastAsia"/>
          <w:sz w:val="30"/>
          <w:szCs w:val="30"/>
        </w:rPr>
      </w:pPr>
      <w:r>
        <w:rPr>
          <w:rFonts w:hint="eastAsia"/>
          <w:sz w:val="30"/>
          <w:szCs w:val="30"/>
        </w:rPr>
        <w:t>2.银行、支付机构、清算机构应加强对本机构支付业务系统接口的监测与检查，发现本机构支付业务系统接口疑似被用于赌博的，应立即进行核实。确实无法核实或核实后确为可疑的，应采取适当处置措施，及时移送所在地公安机关，同时报告相关清算机构和中国支付清算协会。</w:t>
      </w:r>
    </w:p>
    <w:p>
      <w:pPr>
        <w:ind w:firstLine="600" w:firstLineChars="200"/>
        <w:rPr>
          <w:rFonts w:hint="eastAsia"/>
          <w:sz w:val="30"/>
          <w:szCs w:val="30"/>
        </w:rPr>
      </w:pPr>
      <w:r>
        <w:rPr>
          <w:rFonts w:hint="eastAsia"/>
          <w:sz w:val="30"/>
          <w:szCs w:val="30"/>
        </w:rPr>
        <w:t>3.核查及协查责任。银行、支付机构、清算机构应配合公安机关开展涉案支付业务系统接口协查工作，依法开展处置工作；配合有权机关开展支付业务系统接口线索核查工作。银行、支付机构、清算机构无正当理由不认真配合相关核查或协查工作的，包括但不限于不反馈结果、反馈内容简单、反馈时效差，应承担相应责任。</w:t>
      </w:r>
    </w:p>
    <w:p>
      <w:pPr>
        <w:ind w:firstLine="600" w:firstLineChars="200"/>
        <w:rPr>
          <w:rFonts w:hint="eastAsia"/>
          <w:sz w:val="30"/>
          <w:szCs w:val="30"/>
        </w:rPr>
      </w:pPr>
      <w:r>
        <w:rPr>
          <w:rFonts w:hint="eastAsia"/>
          <w:sz w:val="30"/>
          <w:szCs w:val="30"/>
        </w:rPr>
        <w:t>（五）清算机构责任。</w:t>
      </w:r>
    </w:p>
    <w:p>
      <w:pPr>
        <w:ind w:firstLine="600" w:firstLineChars="200"/>
        <w:rPr>
          <w:rFonts w:hint="eastAsia"/>
          <w:sz w:val="30"/>
          <w:szCs w:val="30"/>
        </w:rPr>
      </w:pPr>
      <w:r>
        <w:rPr>
          <w:rFonts w:hint="eastAsia"/>
          <w:sz w:val="30"/>
          <w:szCs w:val="30"/>
        </w:rPr>
        <w:t>根据“谁的清算网络谁负责”原则，清算机构应对加入本机构清算网络的成员机构、终端进行全生命周期管理，包括但不限于入网审核、违约约束及退出管理。</w:t>
      </w:r>
    </w:p>
    <w:p>
      <w:pPr>
        <w:ind w:firstLine="600" w:firstLineChars="200"/>
        <w:rPr>
          <w:rFonts w:hint="eastAsia"/>
          <w:sz w:val="30"/>
          <w:szCs w:val="30"/>
        </w:rPr>
      </w:pPr>
      <w:r>
        <w:rPr>
          <w:rFonts w:hint="eastAsia"/>
          <w:sz w:val="30"/>
          <w:szCs w:val="30"/>
        </w:rPr>
        <w:t>1.成员机构管理责任。</w:t>
      </w:r>
    </w:p>
    <w:p>
      <w:pPr>
        <w:ind w:firstLine="600" w:firstLineChars="200"/>
        <w:rPr>
          <w:rFonts w:hint="eastAsia"/>
          <w:sz w:val="30"/>
          <w:szCs w:val="30"/>
        </w:rPr>
      </w:pPr>
      <w:r>
        <w:rPr>
          <w:rFonts w:hint="eastAsia"/>
          <w:sz w:val="30"/>
          <w:szCs w:val="30"/>
        </w:rPr>
        <w:t>（1）清算机构明知成员机构为赌博提供支付服务但未采取有效控制措施的，应承担相应责任。</w:t>
      </w:r>
    </w:p>
    <w:p>
      <w:pPr>
        <w:ind w:firstLine="600" w:firstLineChars="200"/>
        <w:rPr>
          <w:rFonts w:hint="eastAsia"/>
          <w:sz w:val="30"/>
          <w:szCs w:val="30"/>
        </w:rPr>
      </w:pPr>
      <w:r>
        <w:rPr>
          <w:rFonts w:hint="eastAsia"/>
          <w:sz w:val="30"/>
          <w:szCs w:val="30"/>
        </w:rPr>
        <w:t>（2）清算机构直接或协助成员机构为赌博相关资金转移提供服务便利的，应承担相应责任。</w:t>
      </w:r>
    </w:p>
    <w:p>
      <w:pPr>
        <w:ind w:firstLine="600" w:firstLineChars="200"/>
        <w:rPr>
          <w:rFonts w:hint="eastAsia"/>
          <w:sz w:val="30"/>
          <w:szCs w:val="30"/>
        </w:rPr>
      </w:pPr>
      <w:r>
        <w:rPr>
          <w:rFonts w:hint="eastAsia"/>
          <w:sz w:val="30"/>
          <w:szCs w:val="30"/>
        </w:rPr>
        <w:t>（3）清算机构发现成员机构、终端疑似涉赌博的，应立即进行核实。确实无法核实或核实后确为可疑的，应采取适当处置措施，及时移送所在地公安机关，同时报告人民银行和中国支付清算协会。</w:t>
      </w:r>
    </w:p>
    <w:p>
      <w:pPr>
        <w:ind w:firstLine="600" w:firstLineChars="200"/>
        <w:rPr>
          <w:rFonts w:hint="eastAsia"/>
          <w:sz w:val="30"/>
          <w:szCs w:val="30"/>
        </w:rPr>
      </w:pPr>
      <w:r>
        <w:rPr>
          <w:rFonts w:hint="eastAsia"/>
          <w:sz w:val="30"/>
          <w:szCs w:val="30"/>
        </w:rPr>
        <w:t>2.交易信息管理及监测责任。</w:t>
      </w:r>
    </w:p>
    <w:p>
      <w:pPr>
        <w:ind w:firstLine="600" w:firstLineChars="200"/>
        <w:rPr>
          <w:rFonts w:hint="eastAsia"/>
          <w:sz w:val="30"/>
          <w:szCs w:val="30"/>
        </w:rPr>
      </w:pPr>
      <w:r>
        <w:rPr>
          <w:rFonts w:hint="eastAsia"/>
          <w:sz w:val="30"/>
          <w:szCs w:val="30"/>
        </w:rPr>
        <w:t>（1）清算机构应明确交易信息上送规则，实现跨机构转接交易信息透传，加强对交易信息的管理与监测。针对交易信息填写不规范的成员机构，应采取适当处置措施。清算机构未明确交易信息上送规则，或虽明确交易信息上送规则但未执行、未开展交易信息监测、未对交易信息填写不规范或交易信息可疑等情形采取处置措施的，由清算机构承担相应责任。</w:t>
      </w:r>
    </w:p>
    <w:p>
      <w:pPr>
        <w:ind w:firstLine="600" w:firstLineChars="200"/>
        <w:rPr>
          <w:rFonts w:hint="eastAsia"/>
          <w:sz w:val="30"/>
          <w:szCs w:val="30"/>
        </w:rPr>
      </w:pPr>
      <w:r>
        <w:rPr>
          <w:rFonts w:hint="eastAsia"/>
          <w:sz w:val="30"/>
          <w:szCs w:val="30"/>
        </w:rPr>
        <w:t>（2）清算机构应组织成员机构针对监测发现的涉赌博可疑交易进行检查核实。确实无法核实或核实后确为可疑的，应采取适当处置措施，及时移送所在地公安机关，同时报告人民银行和中国支付清算协会，涉及外汇业务的还应报告外汇局。</w:t>
      </w:r>
    </w:p>
    <w:p>
      <w:pPr>
        <w:ind w:firstLine="600" w:firstLineChars="200"/>
        <w:rPr>
          <w:rFonts w:hint="eastAsia"/>
          <w:sz w:val="30"/>
          <w:szCs w:val="30"/>
        </w:rPr>
      </w:pPr>
      <w:r>
        <w:rPr>
          <w:rFonts w:hint="eastAsia"/>
          <w:sz w:val="30"/>
          <w:szCs w:val="30"/>
        </w:rPr>
        <w:t>（3）清算机构应配合中国支付清算协会建立健全不同清算机构间的交易信息联查机制。</w:t>
      </w:r>
    </w:p>
    <w:p>
      <w:pPr>
        <w:ind w:firstLine="600" w:firstLineChars="200"/>
        <w:rPr>
          <w:rFonts w:hint="eastAsia"/>
          <w:sz w:val="30"/>
          <w:szCs w:val="30"/>
        </w:rPr>
      </w:pPr>
      <w:r>
        <w:rPr>
          <w:rFonts w:hint="eastAsia"/>
          <w:sz w:val="30"/>
          <w:szCs w:val="30"/>
        </w:rPr>
        <w:t>3.核查及协查责任。清算机构应配合公安机关开展案件协查工作，依法开展处置工作；配合有权机关开展线索核查工作。清算机构无正当理由不认真配合相关核查或协查工作的，包括但不限于不反馈结果、反馈内容简单、反馈时效差，应承担相应责任。</w:t>
      </w:r>
    </w:p>
    <w:p>
      <w:pPr>
        <w:ind w:firstLine="600" w:firstLineChars="200"/>
        <w:rPr>
          <w:rFonts w:hint="eastAsia"/>
          <w:sz w:val="30"/>
          <w:szCs w:val="30"/>
        </w:rPr>
      </w:pPr>
      <w:r>
        <w:rPr>
          <w:rFonts w:hint="eastAsia"/>
          <w:sz w:val="30"/>
          <w:szCs w:val="30"/>
        </w:rPr>
        <w:t>（六）ATM业务管理责任。</w:t>
      </w:r>
    </w:p>
    <w:p>
      <w:pPr>
        <w:ind w:firstLine="600" w:firstLineChars="200"/>
        <w:rPr>
          <w:rFonts w:hint="eastAsia"/>
          <w:sz w:val="30"/>
          <w:szCs w:val="30"/>
        </w:rPr>
      </w:pPr>
      <w:r>
        <w:rPr>
          <w:rFonts w:hint="eastAsia"/>
          <w:sz w:val="30"/>
          <w:szCs w:val="30"/>
        </w:rPr>
        <w:t>1.客户通过ATM机具办理取现、转账等业务的，根据“谁的客户谁负责”原则，由为该客户开立账户的银行相应承担账户机构管理责任及账户交易监测责任。对交易监测发现疑似涉赌博的，开户银行应采取适当限制措施，包括但不限于限制通过ATM机具办理业务。</w:t>
      </w:r>
    </w:p>
    <w:p>
      <w:pPr>
        <w:ind w:firstLine="600" w:firstLineChars="200"/>
        <w:rPr>
          <w:rFonts w:hint="eastAsia"/>
          <w:sz w:val="30"/>
          <w:szCs w:val="30"/>
        </w:rPr>
      </w:pPr>
      <w:r>
        <w:rPr>
          <w:rFonts w:hint="eastAsia"/>
          <w:sz w:val="30"/>
          <w:szCs w:val="30"/>
        </w:rPr>
        <w:t>2.根据“谁的机具谁负责”原则，布放ATM机具的银行，应承担ATM机具管理、巡检等责任，有效预防侧录等风险；该管理责任不因ATM机具布放外包而发生转移。如客户通过开户银行本银行ATM机具办理业务，开户银行应加强交易验证，包括但不限于增加验证要素数量、增加生物要素识别等更强验证方式。</w:t>
      </w:r>
    </w:p>
    <w:p>
      <w:pPr>
        <w:ind w:firstLine="600" w:firstLineChars="200"/>
        <w:rPr>
          <w:rFonts w:hint="eastAsia"/>
          <w:sz w:val="30"/>
          <w:szCs w:val="30"/>
        </w:rPr>
      </w:pPr>
      <w:r>
        <w:rPr>
          <w:rFonts w:hint="eastAsia"/>
          <w:sz w:val="30"/>
          <w:szCs w:val="30"/>
        </w:rPr>
        <w:t>3.客户通过ATM机具办理取现、转账等业务涉赌博的，如布放ATM机具的银行责任落实到位，由开户银行承担相应责任。如布放ATM机具的银行未落实责任或责任落实不到位，由布放ATM机具的银行和开户银行承担相应责任。</w:t>
      </w:r>
    </w:p>
    <w:p>
      <w:pPr>
        <w:ind w:firstLine="600" w:firstLineChars="200"/>
        <w:rPr>
          <w:rFonts w:hint="eastAsia"/>
          <w:sz w:val="30"/>
          <w:szCs w:val="30"/>
        </w:rPr>
      </w:pPr>
      <w:r>
        <w:rPr>
          <w:rFonts w:hint="eastAsia"/>
          <w:sz w:val="30"/>
          <w:szCs w:val="30"/>
        </w:rPr>
        <w:t>4.核查及协查责任。开户银行和布放ATM机具的银行应配合公安机关开展案件协查工作，依法开展处置工作；配合有权机关开展线索核查工作。</w:t>
      </w:r>
    </w:p>
    <w:p>
      <w:pPr>
        <w:ind w:firstLine="600" w:firstLineChars="200"/>
        <w:rPr>
          <w:rFonts w:hint="eastAsia"/>
          <w:sz w:val="30"/>
          <w:szCs w:val="30"/>
        </w:rPr>
      </w:pPr>
      <w:r>
        <w:rPr>
          <w:rFonts w:hint="eastAsia"/>
          <w:sz w:val="30"/>
          <w:szCs w:val="30"/>
        </w:rPr>
        <w:t>开户银行和布放ATM机具的银行无正当理由不认真配合相关核查或协查工作的，包括但不限于不反馈结果、反馈内容简单、反馈时效差等，应承担相应责任。</w:t>
      </w:r>
    </w:p>
    <w:p>
      <w:pPr>
        <w:ind w:firstLine="602" w:firstLineChars="200"/>
        <w:rPr>
          <w:rFonts w:hint="eastAsia"/>
          <w:b/>
          <w:bCs/>
          <w:sz w:val="30"/>
          <w:szCs w:val="30"/>
        </w:rPr>
      </w:pPr>
      <w:r>
        <w:rPr>
          <w:rFonts w:hint="eastAsia"/>
          <w:b/>
          <w:bCs/>
          <w:sz w:val="30"/>
          <w:szCs w:val="30"/>
        </w:rPr>
        <w:t>二、支付服务主体内部责任划分</w:t>
      </w:r>
    </w:p>
    <w:p>
      <w:pPr>
        <w:ind w:firstLine="600" w:firstLineChars="200"/>
        <w:rPr>
          <w:rFonts w:hint="eastAsia"/>
          <w:sz w:val="30"/>
          <w:szCs w:val="30"/>
        </w:rPr>
      </w:pPr>
      <w:r>
        <w:rPr>
          <w:rFonts w:hint="eastAsia"/>
          <w:sz w:val="30"/>
          <w:szCs w:val="30"/>
        </w:rPr>
        <w:t>（一）根据“谁的机构谁负责”原则，银行、支付机构、清算机构的分支机构为赌博提供支付服务的，由该机构法人单位承担相应管理责任。</w:t>
      </w:r>
    </w:p>
    <w:p>
      <w:pPr>
        <w:ind w:firstLine="600" w:firstLineChars="200"/>
        <w:rPr>
          <w:rFonts w:hint="eastAsia"/>
          <w:sz w:val="30"/>
          <w:szCs w:val="30"/>
        </w:rPr>
      </w:pPr>
      <w:r>
        <w:rPr>
          <w:rFonts w:hint="eastAsia"/>
          <w:sz w:val="30"/>
          <w:szCs w:val="30"/>
        </w:rPr>
        <w:t>（二）银行、支付机构、清算机构应加强对人员和岗位的管理，根据“谁拓展谁负责”和“谁审批谁负责”等原则，建立健全内部责任追究机制，明确工作要求，强化责任落实，严肃追究相关人员责任。</w:t>
      </w:r>
    </w:p>
    <w:p>
      <w:pPr>
        <w:ind w:firstLine="602" w:firstLineChars="200"/>
        <w:rPr>
          <w:rFonts w:hint="eastAsia"/>
          <w:b/>
          <w:bCs/>
          <w:sz w:val="30"/>
          <w:szCs w:val="30"/>
        </w:rPr>
      </w:pPr>
      <w:r>
        <w:rPr>
          <w:rFonts w:hint="eastAsia"/>
          <w:b/>
          <w:bCs/>
          <w:sz w:val="30"/>
          <w:szCs w:val="30"/>
        </w:rPr>
        <w:t>三、人民银行分支机构责任</w:t>
      </w:r>
    </w:p>
    <w:p>
      <w:pPr>
        <w:ind w:firstLine="600" w:firstLineChars="200"/>
        <w:rPr>
          <w:rFonts w:hint="eastAsia"/>
          <w:sz w:val="30"/>
          <w:szCs w:val="30"/>
        </w:rPr>
      </w:pPr>
      <w:r>
        <w:rPr>
          <w:rFonts w:hint="eastAsia"/>
          <w:sz w:val="30"/>
          <w:szCs w:val="30"/>
        </w:rPr>
        <w:t>人民银行分支机构承担属地监管职责，银行、支付机构为赌博提供支付服务并产生恶劣社会影响的，由该机构所在地（包括法人所在地和分支机构所在地）人民银行分支机构承担相应责任。</w:t>
      </w:r>
    </w:p>
    <w:p>
      <w:pPr>
        <w:ind w:firstLine="600" w:firstLineChars="200"/>
        <w:rPr>
          <w:rFonts w:hint="eastAsia"/>
          <w:sz w:val="30"/>
          <w:szCs w:val="30"/>
        </w:rPr>
      </w:pPr>
      <w:r>
        <w:rPr>
          <w:rFonts w:hint="eastAsia"/>
          <w:sz w:val="30"/>
          <w:szCs w:val="30"/>
        </w:rPr>
        <w:t>人民银行分支机构应加强</w:t>
      </w:r>
      <w:bookmarkStart w:id="0" w:name="_GoBack"/>
      <w:bookmarkEnd w:id="0"/>
      <w:r>
        <w:rPr>
          <w:rFonts w:hint="eastAsia"/>
          <w:sz w:val="30"/>
          <w:szCs w:val="30"/>
        </w:rPr>
        <w:t>对辖区内银行、支付机构、清算机构的监督管理，配合有权机关组织开展涉赌博线索核查工作，倒查银行、支付机构、清算机构责任落实情况。</w:t>
      </w:r>
    </w:p>
    <w:p>
      <w:pPr>
        <w:ind w:firstLine="600" w:firstLineChars="200"/>
        <w:rPr>
          <w:rFonts w:hint="eastAsia"/>
          <w:sz w:val="30"/>
          <w:szCs w:val="30"/>
        </w:rPr>
      </w:pPr>
      <w:r>
        <w:rPr>
          <w:rFonts w:hint="eastAsia"/>
          <w:sz w:val="30"/>
          <w:szCs w:val="30"/>
        </w:rPr>
        <w:t>银行、支付机构法人所在地人民银行分支机构负责统筹汇总银行、支付机构的法人机构及其所有分支机构的责任落实情况，银行、支付机构的分支机构所在地人民银行分支机构负责将相关分支机构责任落实情况同步告知相应法人所在地人民银行分支机构。</w:t>
      </w:r>
    </w:p>
    <w:p>
      <w:pPr>
        <w:pStyle w:val="2"/>
        <w:rPr>
          <w:rFonts w:hint="eastAsia"/>
          <w:sz w:val="30"/>
          <w:szCs w:val="30"/>
        </w:rPr>
      </w:pPr>
    </w:p>
    <w:p>
      <w:pPr>
        <w:rPr>
          <w:rFonts w:hint="eastAsia"/>
          <w:sz w:val="30"/>
          <w:szCs w:val="30"/>
        </w:rPr>
      </w:pPr>
      <w:r>
        <w:rPr>
          <w:rFonts w:hint="eastAsia"/>
          <w:sz w:val="30"/>
          <w:szCs w:val="30"/>
        </w:rPr>
        <w:t>抄送：派驻纪检监察组；外汇局综合司。</w:t>
      </w:r>
    </w:p>
    <w:p>
      <w:pPr>
        <w:rPr>
          <w:rFonts w:hint="eastAsia"/>
          <w:sz w:val="30"/>
          <w:szCs w:val="30"/>
        </w:rPr>
      </w:pPr>
      <w:r>
        <w:rPr>
          <w:rFonts w:hint="eastAsia"/>
          <w:sz w:val="30"/>
          <w:szCs w:val="30"/>
        </w:rPr>
        <w:t>内部发送：支付司，条法司，宏观审慎局，反洗钱局，内审司。</w:t>
      </w:r>
    </w:p>
    <w:p>
      <w:pPr>
        <w:rPr>
          <w:rFonts w:hint="eastAsia"/>
          <w:sz w:val="30"/>
          <w:szCs w:val="30"/>
        </w:rPr>
      </w:pPr>
      <w:r>
        <w:rPr>
          <w:rFonts w:hint="eastAsia"/>
          <w:sz w:val="30"/>
          <w:szCs w:val="30"/>
        </w:rPr>
        <w:t>中国人民银行办公厅2020年11月11日印发</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A072C2"/>
    <w:rsid w:val="250B1EA0"/>
    <w:rsid w:val="3D4E7365"/>
    <w:rsid w:val="478E55DA"/>
    <w:rsid w:val="6C06439C"/>
    <w:rsid w:val="77A072C2"/>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2021-07-19T07:46:00Z</dcterms:created>
  <dc:creator>Administrator</dc:creator>
  <cp:lastModifiedBy>Administrator</cp:lastModifiedBy>
  <dcterms:modified xsi:type="dcterms:W3CDTF">2021-07-19T07:53:01Z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