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color w:val="auto"/>
          <w:sz w:val="40"/>
          <w:szCs w:val="40"/>
          <w:highlight w:val="none"/>
          <w:lang w:val="en-US" w:eastAsia="zh-CN"/>
        </w:rPr>
      </w:pPr>
    </w:p>
    <w:p>
      <w:pPr>
        <w:jc w:val="center"/>
        <w:rPr>
          <w:rFonts w:hint="eastAsia" w:ascii="黑体" w:hAnsi="黑体" w:eastAsia="黑体" w:cs="黑体"/>
          <w:b w:val="0"/>
          <w:bCs/>
          <w:color w:val="auto"/>
          <w:sz w:val="40"/>
          <w:szCs w:val="40"/>
          <w:highlight w:val="none"/>
          <w:lang w:val="en-US" w:eastAsia="zh-CN"/>
        </w:rPr>
      </w:pPr>
      <w:r>
        <w:rPr>
          <w:rFonts w:hint="eastAsia" w:ascii="黑体" w:hAnsi="黑体" w:eastAsia="黑体" w:cs="黑体"/>
          <w:b w:val="0"/>
          <w:bCs/>
          <w:color w:val="auto"/>
          <w:sz w:val="40"/>
          <w:szCs w:val="40"/>
          <w:highlight w:val="none"/>
          <w:lang w:val="en-US" w:eastAsia="zh-CN"/>
        </w:rPr>
        <w:t xml:space="preserve"> 江苏省第五届“支付清算杯”</w:t>
      </w:r>
    </w:p>
    <w:p>
      <w:pPr>
        <w:jc w:val="center"/>
        <w:rPr>
          <w:rFonts w:hint="default" w:ascii="黑体" w:hAnsi="黑体" w:eastAsia="黑体" w:cs="黑体"/>
          <w:b w:val="0"/>
          <w:bCs/>
          <w:color w:val="auto"/>
          <w:sz w:val="40"/>
          <w:szCs w:val="40"/>
          <w:highlight w:val="none"/>
          <w:lang w:val="en-US" w:eastAsia="zh-CN"/>
        </w:rPr>
      </w:pPr>
      <w:r>
        <w:rPr>
          <w:rFonts w:hint="eastAsia" w:ascii="黑体" w:hAnsi="黑体" w:eastAsia="黑体" w:cs="黑体"/>
          <w:b w:val="0"/>
          <w:bCs/>
          <w:color w:val="auto"/>
          <w:sz w:val="40"/>
          <w:szCs w:val="40"/>
          <w:highlight w:val="none"/>
          <w:lang w:val="en-US" w:eastAsia="zh-CN"/>
        </w:rPr>
        <w:t>支付清算知识竞赛参考文件目录</w:t>
      </w:r>
    </w:p>
    <w:p>
      <w:pPr>
        <w:pStyle w:val="2"/>
        <w:spacing w:line="360" w:lineRule="auto"/>
        <w:jc w:val="center"/>
        <w:rPr>
          <w:rFonts w:hint="eastAsia" w:ascii="方正黑体_GBK" w:hAnsi="方正黑体_GBK" w:eastAsia="方正黑体_GBK" w:cs="方正黑体_GBK"/>
          <w:b w:val="0"/>
          <w:bCs/>
          <w:i w:val="0"/>
          <w:color w:val="auto"/>
          <w:kern w:val="0"/>
          <w:sz w:val="28"/>
          <w:szCs w:val="28"/>
          <w:highlight w:val="none"/>
          <w:u w:val="none"/>
          <w:lang w:val="en-US" w:eastAsia="zh-CN" w:bidi="ar"/>
        </w:rPr>
      </w:pPr>
    </w:p>
    <w:p>
      <w:pPr>
        <w:pStyle w:val="2"/>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color w:val="auto"/>
          <w:highlight w:val="none"/>
          <w:lang w:val="en-US" w:eastAsia="zh-CN"/>
        </w:rPr>
      </w:pPr>
      <w:r>
        <w:rPr>
          <w:rFonts w:hint="eastAsia" w:ascii="方正黑体_GBK" w:hAnsi="方正黑体_GBK" w:eastAsia="方正黑体_GBK" w:cs="方正黑体_GBK"/>
          <w:b w:val="0"/>
          <w:bCs/>
          <w:i w:val="0"/>
          <w:color w:val="auto"/>
          <w:kern w:val="0"/>
          <w:sz w:val="28"/>
          <w:szCs w:val="28"/>
          <w:highlight w:val="none"/>
          <w:u w:val="none"/>
          <w:lang w:val="en-US" w:eastAsia="zh-CN" w:bidi="ar"/>
        </w:rPr>
        <w:t>银行类</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中华人民共和国票据法（中华人民共和国主席令〔1997〕第22号）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票据管理实施办法(中国人民银行令〔1997〕第2号)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关于印发《支付结算办法》的通知（银发〔1997〕393号）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关于印发《支付结算会计核算手续》的通知（银发〔1997〕394号）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关于印发《商业汇票承兑、贴现与再贴现管理暂行办法》的通知（银发〔1997〕216号）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关于下发《银行卡业务管理办法》的通知（银发〔1999〕17号）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人民币银行结算账户管理办法（中国人民银行令〔2003〕第5号)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电子支付指引（中国人民银行公告〔2005〕第23号）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strike/>
          <w:dstrike w:val="0"/>
          <w:color w:val="C55A11" w:themeColor="accent2" w:themeShade="BF"/>
          <w:sz w:val="24"/>
          <w:szCs w:val="24"/>
          <w:highlight w:val="none"/>
          <w:lang w:val="en-US" w:eastAsia="zh-CN"/>
        </w:rPr>
      </w:pPr>
      <w:r>
        <w:rPr>
          <w:rFonts w:hint="eastAsia"/>
          <w:strike/>
          <w:dstrike w:val="0"/>
          <w:color w:val="C55A11" w:themeColor="accent2" w:themeShade="BF"/>
          <w:sz w:val="24"/>
          <w:szCs w:val="24"/>
          <w:highlight w:val="none"/>
          <w:lang w:val="en-US" w:eastAsia="zh-CN"/>
        </w:rPr>
        <w:t>关于防范信用卡风险有关问题的通知（银发〔2006〕84号）</w:t>
      </w:r>
      <w:r>
        <w:rPr>
          <w:rFonts w:hint="eastAsia"/>
          <w:strike w:val="0"/>
          <w:dstrike w:val="0"/>
          <w:color w:val="C55A11" w:themeColor="accent2" w:themeShade="BF"/>
          <w:sz w:val="24"/>
          <w:szCs w:val="24"/>
          <w:highlight w:val="none"/>
          <w:lang w:val="en-US" w:eastAsia="zh-CN"/>
        </w:rPr>
        <w:t>文件已废止</w:t>
      </w:r>
      <w:bookmarkStart w:id="0" w:name="_GoBack"/>
      <w:bookmarkEnd w:id="0"/>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中国人民银行关于改进个人支付结算服务的通知（银发〔2007〕154号）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中国人民银行关于印发依托小额支付系统办理银行本票业务有关管理规定的通知（银发〔2007〕441号）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银行业金融机构联网核查公民身份信息业务处理规定（试行）、联网核查公民身份信息系统操作规程（试行）（银办发〔2007〕26号）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中国人民银行关于印发华东三省一市银行汇票业务有关规定的通知（银发〔2008〕146号）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境内外币支付系统业务处理规定（试行）（银发〔2008〕167号）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中国人民银行关于进一步落实个人人民币银行存款账户实名制的通知（银发〔2008〕191号）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电子商业汇票业务管理办法（中国人民银行令〔2009〕第2号）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中国人民银行关于印发《境外机构人民币银行结算账户管理办法》的通知（银发〔2010〕249号）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中国人民银行关于启用2010版银行票据凭证的通知（银发〔2010〕299号）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中国人民银行关于印发网上支付跨行清算系统相关管理的通知（银办发〔2010〕159号）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外商直接投资人民币结算业务管理办法（中国人民银行公告〔2011〕23号）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中国人民银行关于进一步加强人民币银行结算账户开立、转账、现金支取业务管理的通知（银发〔2011〕116号）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中国人民银行关于明确外商直接投资人民币结算业务操作细则的通知（银发〔2012〕165号）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人民银行关于境外机构人民币银行结算账户开立和使用有关问题的通知（银发〔2012〕183号）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中国人民银行关于规范单位结算卡业务管理的通知（银发〔2014〕2号）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中国人民银行关于加强银行业金融机构人民币同业银行结算账户管理的通知（ 银发〔2014〕178号）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中国人民银行支付系统参与者监督管理办法（银发〔2015〕40号)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中国人民银行关于《改进个人银行账户服务加强账户管理的通知》（银发〔2015〕392号）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中国人民银行办公厅关于调整周末及法定节假日小额支付系统普通贷记业务限额的通知（银办发〔2015〕147号)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中国人民银行南京分行关于印发《中国人民银行南京分行支付系统参与者监督管理实施细则》的通知（南银发〔2015〕147号）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财政部中国人民银行关于印发《单位公务卡管理办法（试行）》的通知（财库〔2016〕8号）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票据交易管理办法（中国人民银行公告〔2016〕29号）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国内信用证结算办法（中国人民银行中国银行业监督管理委员会公告〔2016〕第10号）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中国人民银行民政部关于规范全国性社会组织开立临时性存款账户有关事项的通知（银发〔2016〕99号）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中国人民银行关于信用卡业务有关事项的通知（银发〔2016〕111号）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中国人民银行中国银行业监督管理委员会关于《加强票据业务监管促进票据市场健康发展》的通知（银发〔2016〕126号）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中国人民银行关于进一步规范空头支票行政处罚工作有关事项的通知（银发〔2016〕319号）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中国人民银行办公厅关于规范在支票上使用支付密码有关事项的通知（银办发〔2016〕59号）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中国人民银行办公厅关于修订支付系统相关管理制度的规定（银办发〔2016〕112号）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中国人民银行关于规范和促进电子商业汇票业务发展的通知（银办发〔2016〕224号）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非居民金融账户涉税信息尽职调查管理办法（国家税务总局公告〔2017〕第14号）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中国人民银行工商总局关于个体工商户“两证整合”登记制度改革涉及银行账户管理有关事项的通知（银发〔2017〕3号）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中国人民银行公安部关于做好境外非政府组织代表机构人民币银行账户管理有关工作的通知（银发〔2017〕90号）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中国人民银行国家税务总局国家外汇管理局关于印发《银行业存款类金融机构非居民金融账户涉税信息尽职调查细则》的通知（银发〔2017〕278号）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中国人民银行办公厅关于将全国支票影像交换系统业务纳入小额支付系统处理的通知（银办发〔2017〕76号）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中国人民银行办公厅关于加强小额支付系统集中代收付业务管理有关事项的通知（银办发〔2017〕110号）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中国人民银行办公厅关于印发《中央银行会计核算数据集中系统综合前置子系统管理办法》的通知（银办发〔2017〕132号）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中国人民银行办公厅关于调整大额支付系统运行时间有关事项的通知（银办发〔2017〕238号）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江苏省小额支付系统集中代收付业务管理办法（南银办〔2017〕215号）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中国人民银行支付结算司关于大额支付系统增加延迟结算业务功能有关事项的通知（银支付〔2017〕271号）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国家发展改革委中国银监会关于取消和暂停商业银行部分基础金融服务收费的通知（发改价格规〔2017〕1250号）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中国人民银行关于军人保障卡等军人银行账户管理有关事项的通知（银发〔2018〕4号）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中国人民银行关于改进个人银行账户分类管理有关事项的通知（银发〔2018〕16号）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中国人民银行关于印发《人民币跨境支付系统业务规则》的通知（银发〔2018〕72号）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中国人民银行关于修订《电子商业汇票系统管理办法》等四项制度的通知（银发〔2018〕152号）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中国人民银行支付结算司关于加强网上支付跨行清算系统短信认证等业务管理有关事项的通知（银支付〔2018〕153号）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中国人民银行支付结算司关于在网上支付跨行清算系统中增加“手机号码支付”功能有关事项的通知（银支付〔2018〕186号）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中国人民银行关于取消企业银行账户许可的通知（银发〔2019〕41号）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国家外汇管理局关于印发《跨国公司跨境资金集中运营管理规定》的通知（汇发〔2019〕7号）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中华人民共和国电子签名法（中华人民共和国主席令〔2019〕第29号）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中国人民银行支付结算司关于支持国家税务总局通过小额支付系统核验个人银行账户信息有关事项的通知（银支付〔2019〕88号）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人民银行南京分行办公室关于印发《江苏省企业银行结算账户业务监督管理办法（试行）》的通知（南银办〔2019〕112号）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中国人民银行南京分行办公室关于印发《江苏省企业银行结算账户业务应急预案（试行）》的通知（南银办〔2019〕116号）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中国人民银行支付结算司关于支持国家税务总局通过小额支付系统核验个人银行账户信息有关事项的通知（银支付〔2019〕88号）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中国人民银行南京分行办公室转发《中国人民银行支付结算司关于加强个人Ⅱ、Ⅲ类银行结算账户风险防范有关事项的通知》的通知（南银办〔2019〕55号）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中国人民银行关于取消企业银行账户许可有关事宜的决定（中国人民银行令〔2019〕第1号）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中国人民银行支付结算司关于同意在大额支付系统新增银行间债券市场“三方回购交易”相关业务种类的批复（银支付〔2019〕190号）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国务院办公厅 关于切实解决老年人运用智能技术困难实施方案的通知（国办发〔2020〕45号）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中国人民银行办公厅关于加强清算机构支付清算业务管理有关事项的通知 （银办发〔2020〕11号）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中国人民银行办公厅关于做好中央银行会计核算数据集中系统综合前置子系统自助转账功能推广的通知（银办发〔2020〕132号）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人民银行支付结算司关于进一步加强支付清算系统业务连续性管理工作有关事项的通知（银支付〔2020〕111号）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中国人民银行南京分行转发《中国人民银行关于做好流动就业群体等个人银行账户服务工作的指导意见》的通知（南银发〔2021〕122号）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中国人民银行南京分行办公室转发《中国人民银行关于做好小微企业银行账户优化服务和风险防控工作的指导意见》的通知（南银办〔2021〕158号）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中国银保监会 中国人民银行 关于进一步促进信用卡业务规范健康发展的通知 （银保监规〔2022〕13号）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中国人民银行南京分行办公室 关于进一步落实落细支付服务适老化工作的指导意见（南银办〔2022〕122号）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商业汇票贴现与再贴现管理办法（中国人民银行 中国银行保险监督管理委员会令〔2022〕第4号）</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中央银行存款账户管理办法（银发〔2023〕127号）</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36" w:lineRule="auto"/>
        <w:ind w:leftChars="0"/>
        <w:textAlignment w:val="auto"/>
        <w:rPr>
          <w:rFonts w:hint="eastAsia"/>
          <w:color w:val="auto"/>
          <w:sz w:val="24"/>
          <w:szCs w:val="24"/>
          <w:highlight w:val="none"/>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36" w:lineRule="auto"/>
        <w:jc w:val="center"/>
        <w:textAlignment w:val="auto"/>
        <w:rPr>
          <w:rFonts w:hint="eastAsia" w:ascii="方正黑体_GBK" w:hAnsi="方正黑体_GBK" w:eastAsia="方正黑体_GBK" w:cs="方正黑体_GBK"/>
          <w:b w:val="0"/>
          <w:bCs/>
          <w:i w:val="0"/>
          <w:color w:val="auto"/>
          <w:kern w:val="0"/>
          <w:sz w:val="28"/>
          <w:szCs w:val="28"/>
          <w:highlight w:val="none"/>
          <w:u w:val="none"/>
          <w:lang w:val="en-US" w:eastAsia="zh-CN" w:bidi="ar"/>
        </w:rPr>
      </w:pPr>
      <w:r>
        <w:rPr>
          <w:rFonts w:hint="eastAsia" w:ascii="方正黑体_GBK" w:hAnsi="方正黑体_GBK" w:eastAsia="方正黑体_GBK" w:cs="方正黑体_GBK"/>
          <w:b w:val="0"/>
          <w:bCs/>
          <w:i w:val="0"/>
          <w:color w:val="auto"/>
          <w:kern w:val="0"/>
          <w:sz w:val="28"/>
          <w:szCs w:val="28"/>
          <w:highlight w:val="none"/>
          <w:u w:val="none"/>
          <w:lang w:val="en-US" w:eastAsia="zh-CN" w:bidi="ar"/>
        </w:rPr>
        <w:t>非银行支付机构类</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非金融支付机构支付服务管理办法（中国人民银行令〔2010〕第2号）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非金融支付机构支付服务管理办法实施细则（中国人民银行令〔2010〕第17号）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支付机构预付卡业务管理办法（中国人民银行公告〔2012〕第12号）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中国人民银行关于建立支付机构年度监管报告制度的通知（银发〔2012〕176号）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中国人民银行办公厅关于规范支付机构变更事项监督管理的通知（银办发〔2013〕5号）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非银行支付机构网络支付业务管理办法（中国人民银行公告〔2015〕第43号）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中国人民银行关于《支付业务许可证》续展工作的通知（银发〔2015〕358号）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非银行支付机构分类评级管理办法（银发〔2016〕106号）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中国人民银行办公厅关于非银行支付机构非现场监管系统上线运行的通知（银办发〔2016〕247号）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非银行支付机构支付业务设施技术要求和检测规范金融行业标准</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中国人民银行办公厅关于支付机构客户备付金全部集中交存有关事宜的通知（银办发〔2018〕114号）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中国人民银行关于非银行支付机构开展大额交易报告工作有关要求的通知（银发〔2018〕163号）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中国人民银行关于印发《非银行支付机构大额交易报告要素及释义》的通知（银发〔2018〕349号）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国家外汇管理局关于印发《支付机构外汇业务管理办法》的通知（汇发〔2019〕13号）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非银行支付机构客户备付金存管办法（中国人民银行令〔2021〕第1号）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default"/>
          <w:lang w:val="en-US" w:eastAsia="zh-CN"/>
        </w:rPr>
      </w:pPr>
      <w:r>
        <w:rPr>
          <w:rFonts w:hint="default"/>
          <w:color w:val="auto"/>
          <w:sz w:val="24"/>
          <w:szCs w:val="24"/>
          <w:highlight w:val="none"/>
          <w:lang w:val="en-US" w:eastAsia="zh-CN"/>
        </w:rPr>
        <w:t>中国人民银行关于印发《非银行支付机构重大事项报告管理办法》的通知（银发〔2021〕198号）</w:t>
      </w:r>
    </w:p>
    <w:p>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425" w:leftChars="0" w:hanging="425" w:firstLineChars="0"/>
        <w:textAlignment w:val="auto"/>
        <w:rPr>
          <w:rFonts w:hint="default"/>
          <w:lang w:val="en-US" w:eastAsia="zh-CN"/>
        </w:rPr>
      </w:pPr>
      <w:r>
        <w:rPr>
          <w:rFonts w:hint="eastAsia"/>
          <w:color w:val="auto"/>
          <w:sz w:val="24"/>
          <w:szCs w:val="24"/>
          <w:highlight w:val="none"/>
          <w:lang w:val="en-US" w:eastAsia="zh-CN"/>
        </w:rPr>
        <w:t>非银行支付机构监督管理条例（中华人民共和国国务院令第768号）</w:t>
      </w:r>
    </w:p>
    <w:p>
      <w:pPr>
        <w:pStyle w:val="2"/>
        <w:keepNext w:val="0"/>
        <w:keepLines w:val="0"/>
        <w:pageBreakBefore w:val="0"/>
        <w:widowControl w:val="0"/>
        <w:tabs>
          <w:tab w:val="left" w:pos="3313"/>
        </w:tabs>
        <w:kinsoku/>
        <w:wordWrap/>
        <w:overflowPunct/>
        <w:topLinePunct w:val="0"/>
        <w:autoSpaceDE/>
        <w:autoSpaceDN/>
        <w:bidi w:val="0"/>
        <w:adjustRightInd/>
        <w:snapToGrid/>
        <w:spacing w:line="336" w:lineRule="auto"/>
        <w:textAlignment w:val="auto"/>
        <w:rPr>
          <w:rFonts w:hint="eastAsia"/>
          <w:color w:val="auto"/>
          <w:highlight w:val="none"/>
          <w:lang w:val="en-US" w:eastAsia="zh-CN"/>
        </w:rPr>
      </w:pPr>
      <w:r>
        <w:rPr>
          <w:rFonts w:hint="eastAsia"/>
          <w:color w:val="auto"/>
          <w:highlight w:val="none"/>
          <w:lang w:val="en-US" w:eastAsia="zh-CN"/>
        </w:rPr>
        <w:tab/>
      </w:r>
    </w:p>
    <w:p>
      <w:pPr>
        <w:pStyle w:val="2"/>
        <w:keepNext w:val="0"/>
        <w:keepLines w:val="0"/>
        <w:pageBreakBefore w:val="0"/>
        <w:widowControl w:val="0"/>
        <w:tabs>
          <w:tab w:val="left" w:pos="3313"/>
        </w:tabs>
        <w:kinsoku/>
        <w:wordWrap/>
        <w:overflowPunct/>
        <w:topLinePunct w:val="0"/>
        <w:autoSpaceDE/>
        <w:autoSpaceDN/>
        <w:bidi w:val="0"/>
        <w:adjustRightInd/>
        <w:snapToGrid/>
        <w:spacing w:line="336" w:lineRule="auto"/>
        <w:textAlignment w:val="auto"/>
        <w:rPr>
          <w:rFonts w:hint="eastAsia"/>
          <w:color w:val="auto"/>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方正黑体_GBK" w:hAnsi="方正黑体_GBK" w:eastAsia="方正黑体_GBK" w:cs="方正黑体_GBK"/>
          <w:b w:val="0"/>
          <w:bCs/>
          <w:i w:val="0"/>
          <w:color w:val="auto"/>
          <w:kern w:val="0"/>
          <w:sz w:val="28"/>
          <w:szCs w:val="28"/>
          <w:highlight w:val="none"/>
          <w:u w:val="none"/>
          <w:lang w:val="en-US" w:eastAsia="zh-CN" w:bidi="ar"/>
        </w:rPr>
      </w:pPr>
      <w:r>
        <w:rPr>
          <w:rFonts w:hint="eastAsia" w:ascii="方正黑体_GBK" w:hAnsi="方正黑体_GBK" w:eastAsia="方正黑体_GBK" w:cs="方正黑体_GBK"/>
          <w:b w:val="0"/>
          <w:bCs/>
          <w:i w:val="0"/>
          <w:color w:val="auto"/>
          <w:kern w:val="0"/>
          <w:sz w:val="28"/>
          <w:szCs w:val="28"/>
          <w:highlight w:val="none"/>
          <w:u w:val="none"/>
          <w:lang w:val="en-US" w:eastAsia="zh-CN" w:bidi="ar"/>
        </w:rPr>
        <w:t>银行、非银共同类</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银行卡收单业务管理办法（中国人民银行公告〔2013〕第9号）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涉及恐怖活动资产冻结管理办法（中国人民银行公安部国家安全部令〔2014〕1号）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中国人民银行关于加强银行卡业务管理的通知（银发〔2014〕5号）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关于加强银行卡外包业务管理的通知（银发〔2015〕199号）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支付结算违法违规行为举报奖励办法（中国人民银行公告〔2016〕第7号）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中国人民银行关于进一步加强银行卡风险管理的通知（银发〔2016〕170号）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中国人民银行关于加强支付结算管理防范电信网络新型违法犯罪有关事项的通知(银发〔2016〕261号)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中国人民银行关于落实个人银行账户分类管理制度的通知（银发〔2016〕302号）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人民银行工信部公安部工商总局关于建立电信网络新型违法犯罪涉案账户紧急止付和快速冻结机制的通知（银办发〔2016〕86号）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国家发展改革委中国人民银行关于完善银行卡刷卡手续费定价机制的通知（发改价格〔2016〕557号）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国家税务总局关于进一步明确营改增有关征管问题的公告（国家税务总局公告〔2017〕第11号）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中国人民银行关于规范支付创新业务的通知（银发〔2017〕281号）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中国人民银行关于印发《条码支付业务规范（试行）》的通知（银发〔2017〕296号）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中国人民银行关于持续提升收单服务水平规范和促进收单服务市场发展的指导意见（银办发〔2017〕45号）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中国人民银行办公厅公安部办公厅关于建立电信网络新型违法犯罪买卖账户相关信息上报和移送机制的通知（银办发〔2017〕109号）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中国人民银行办公厅关于做好外国人永久居留身份证使用和宣传培训工作的通知（银办发〔2017〕125号）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中国人民银行办公厅关于明确部分支付业务统计指标口径的通知（银办发〔2017〕210号）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中国人民银行公告〔2018〕第10号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中国人民银行关于发布《农村普惠金融服务点支付服务点技术规范》行业标准的通知（银发〔2018〕237号）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中国人民银行办公厅关于做好港澳台居民居住证使用和宣传培训工作有关事项的通知（银办发〔2018〕168号）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中国人民银行关于进一步加强支付结算管理防范电信网络新型违法犯罪有关事项的通知（银发〔2019〕85号）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最高人民法院最高人民检察院关于办理妨害信用卡管理刑事案件具体应用法律若干问题的解释（法释〔2018〕19号）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最高人民法院最高人民检察院关于办理非法从事资金支付结算业务、非法买卖外汇刑事案件适用法律若干问题的解释（法释〔2019〕1号）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中国人民银行办公厅关于印发企业信息联网核查系统管理办法的通知（银办发〔2019〕197号）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中国人民银行南京分行办公室关于加强收单业务受理终端管理工作的通知（南银办〔2019〕64号）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南银转〔2019〕195号-中国人民银行南京分行转发《中国人民银行 公安部对买卖银行卡或账户的个人实施惩戒的通知》（银发〔2019〕304号）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中国人民银行关于规范代收业务的通知（银发〔2020〕248号）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中国人民银行办公厅关于印发涉赌博资金链责任划分指引的通知（银办发〔2020〕155号）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数据安全法（中华人民共和国主席令〔2021〕第84号）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个人信息保护法（中华人民共和国主席令〔2021〕第91号）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highlight w:val="none"/>
          <w:lang w:val="en-US" w:eastAsia="zh-CN"/>
        </w:rPr>
      </w:pPr>
      <w:r>
        <w:rPr>
          <w:rFonts w:hint="eastAsia"/>
          <w:color w:val="auto"/>
          <w:sz w:val="24"/>
          <w:szCs w:val="24"/>
          <w:highlight w:val="none"/>
          <w:lang w:val="en-US" w:eastAsia="zh-CN"/>
        </w:rPr>
        <w:t>中国人民银行 银保监会 发展改革委 市场监管总局 关于降低小微企业和个体工商户支付手续费的通知（银发〔2021〕169号）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中国人民银行南京分行办公室关于转发《中国人民银行关于加强支付受理终端及相关业务管理的通知》的通知（南银办〔2021〕166号）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 关于支持外贸新业态跨境人民币结算的通知（银发〔2022〕139号）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中国人民银行支付结算司 关于持续有效推进支付服务减费让利工作的通知（银支付〔2022〕75 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反电信诈骗法（中华人民共和国主席令〔2022〕第119号）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尽职调查和客户身份资料及交易记录保存管理办法（中国人民银行 中国银行保险监督管理委员会 中国证券监督管理委员会 令〔2022〕第1号）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个人支付信息保护指引（中支协发〔2023〕116 号）</w:t>
      </w:r>
    </w:p>
    <w:p>
      <w:pPr>
        <w:keepNext w:val="0"/>
        <w:keepLines w:val="0"/>
        <w:pageBreakBefore w:val="0"/>
        <w:widowControl w:val="0"/>
        <w:numPr>
          <w:ilvl w:val="0"/>
          <w:numId w:val="3"/>
        </w:numPr>
        <w:kinsoku/>
        <w:wordWrap/>
        <w:overflowPunct/>
        <w:topLinePunct w:val="0"/>
        <w:autoSpaceDE/>
        <w:autoSpaceDN/>
        <w:bidi w:val="0"/>
        <w:adjustRightInd/>
        <w:snapToGrid/>
        <w:spacing w:line="336" w:lineRule="auto"/>
        <w:ind w:left="425" w:leftChars="0" w:hanging="425" w:firstLine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国务院办公厅 关于进一步优化支付服务提升支付便利性的意见（国办发〔2024〕10号）</w:t>
      </w:r>
    </w:p>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ascii="宋体" w:hAnsi="宋体" w:eastAsia="宋体" w:cs="宋体"/>
        <w:sz w:val="28"/>
        <w:lang w:eastAsia="zh-CN"/>
      </w:rPr>
    </w:pPr>
    <w:r>
      <w:rPr>
        <w:rFonts w:hint="eastAsia" w:ascii="宋体" w:hAnsi="宋体" w:cs="宋体"/>
        <w:sz w:val="28"/>
        <w:lang w:eastAsia="zh-CN"/>
      </w:rPr>
      <w:t xml:space="preserve">— </w:t>
    </w:r>
    <w:r>
      <w:rPr>
        <w:rFonts w:hint="eastAsia" w:ascii="宋体" w:hAnsi="宋体" w:cs="宋体"/>
        <w:sz w:val="28"/>
        <w:lang w:eastAsia="zh-CN"/>
      </w:rPr>
      <w:fldChar w:fldCharType="begin"/>
    </w:r>
    <w:r>
      <w:rPr>
        <w:rFonts w:hint="eastAsia" w:ascii="宋体" w:hAnsi="宋体" w:cs="宋体"/>
        <w:sz w:val="28"/>
        <w:lang w:eastAsia="zh-CN"/>
      </w:rPr>
      <w:instrText xml:space="preserve"> PAGE \* Arabic \* MERGEFORMAT </w:instrText>
    </w:r>
    <w:r>
      <w:rPr>
        <w:rFonts w:hint="eastAsia" w:ascii="宋体" w:hAnsi="宋体" w:cs="宋体"/>
        <w:sz w:val="28"/>
        <w:lang w:eastAsia="zh-CN"/>
      </w:rPr>
      <w:fldChar w:fldCharType="separate"/>
    </w:r>
    <w:r>
      <w:rPr>
        <w:rFonts w:hint="eastAsia" w:ascii="宋体" w:hAnsi="宋体" w:cs="宋体"/>
        <w:sz w:val="28"/>
        <w:lang w:eastAsia="zh-CN"/>
      </w:rPr>
      <w:t>1</w:t>
    </w:r>
    <w:r>
      <w:rPr>
        <w:rFonts w:hint="eastAsia" w:ascii="宋体" w:hAnsi="宋体" w:cs="宋体"/>
        <w:sz w:val="28"/>
        <w:lang w:eastAsia="zh-CN"/>
      </w:rPr>
      <w:fldChar w:fldCharType="end"/>
    </w:r>
    <w:r>
      <w:rPr>
        <w:rFonts w:hint="eastAsia" w:ascii="宋体" w:hAnsi="宋体" w:cs="宋体"/>
        <w:sz w:val="28"/>
        <w:lang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F7AEBF"/>
    <w:multiLevelType w:val="singleLevel"/>
    <w:tmpl w:val="84F7AEBF"/>
    <w:lvl w:ilvl="0" w:tentative="0">
      <w:start w:val="1"/>
      <w:numFmt w:val="decimal"/>
      <w:lvlText w:val="%1."/>
      <w:lvlJc w:val="left"/>
      <w:pPr>
        <w:ind w:left="425" w:hanging="425"/>
      </w:pPr>
      <w:rPr>
        <w:rFonts w:hint="default"/>
      </w:rPr>
    </w:lvl>
  </w:abstractNum>
  <w:abstractNum w:abstractNumId="1">
    <w:nsid w:val="C5C539EA"/>
    <w:multiLevelType w:val="singleLevel"/>
    <w:tmpl w:val="C5C539EA"/>
    <w:lvl w:ilvl="0" w:tentative="0">
      <w:start w:val="1"/>
      <w:numFmt w:val="decimal"/>
      <w:lvlText w:val="%1."/>
      <w:lvlJc w:val="left"/>
      <w:pPr>
        <w:ind w:left="425" w:hanging="425"/>
      </w:pPr>
      <w:rPr>
        <w:rFonts w:hint="default"/>
      </w:rPr>
    </w:lvl>
  </w:abstractNum>
  <w:abstractNum w:abstractNumId="2">
    <w:nsid w:val="CED42DF1"/>
    <w:multiLevelType w:val="singleLevel"/>
    <w:tmpl w:val="CED42DF1"/>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4B344C66"/>
    <w:rsid w:val="0517595E"/>
    <w:rsid w:val="05183623"/>
    <w:rsid w:val="0A1811BD"/>
    <w:rsid w:val="0B674257"/>
    <w:rsid w:val="0D993CD9"/>
    <w:rsid w:val="14F34F6B"/>
    <w:rsid w:val="15B33BE5"/>
    <w:rsid w:val="243235BF"/>
    <w:rsid w:val="250B1EA0"/>
    <w:rsid w:val="294274E2"/>
    <w:rsid w:val="2E4224C2"/>
    <w:rsid w:val="346A04C9"/>
    <w:rsid w:val="3D322349"/>
    <w:rsid w:val="3D3D1A63"/>
    <w:rsid w:val="3D4E7365"/>
    <w:rsid w:val="415139DC"/>
    <w:rsid w:val="41E36BE7"/>
    <w:rsid w:val="421F2EBD"/>
    <w:rsid w:val="478E55DA"/>
    <w:rsid w:val="4B344C66"/>
    <w:rsid w:val="61C6310D"/>
    <w:rsid w:val="66551508"/>
    <w:rsid w:val="6C06439C"/>
    <w:rsid w:val="7243562B"/>
    <w:rsid w:val="76AF147B"/>
    <w:rsid w:val="7A360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3">
    <w:name w:val="heading 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黑体" w:cstheme="minorBidi"/>
      <w:b/>
      <w:kern w:val="44"/>
      <w:sz w:val="36"/>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5234</Words>
  <Characters>5813</Characters>
  <Lines>0</Lines>
  <Paragraphs>0</Paragraphs>
  <TotalTime>13</TotalTime>
  <ScaleCrop>false</ScaleCrop>
  <LinksUpToDate>false</LinksUpToDate>
  <CharactersWithSpaces>5836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2021-08-03T08:50:00Z</dcterms:created>
  <dc:creator>Administrator</dc:creator>
  <cp:lastModifiedBy>江苏省支付清算服务协会</cp:lastModifiedBy>
  <dcterms:modified xsi:type="dcterms:W3CDTF">2024-05-27T07:15:03Z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58CE9E8977DF4B9DA260C96C961C6F3C_12</vt:lpwstr>
  </property>
</Properties>
</file>